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B33ECD" w14:textId="77777777" w:rsidR="00DB2760" w:rsidRDefault="00DB2760" w:rsidP="00DB2760">
      <w:pPr>
        <w:pStyle w:val="NormalWeb"/>
        <w:spacing w:line="480" w:lineRule="auto"/>
        <w:rPr>
          <w:rFonts w:ascii="Times" w:hAnsi="Times" w:cs="TimesNewRomanPSMT"/>
        </w:rPr>
      </w:pPr>
    </w:p>
    <w:p w14:paraId="1D384A81" w14:textId="77777777" w:rsidR="00DB2760" w:rsidRDefault="00DB2760" w:rsidP="00DB2760">
      <w:pPr>
        <w:pStyle w:val="NormalWeb"/>
        <w:spacing w:line="480" w:lineRule="auto"/>
        <w:rPr>
          <w:rFonts w:ascii="Times" w:hAnsi="Times" w:cs="TimesNewRomanPSMT"/>
        </w:rPr>
      </w:pPr>
    </w:p>
    <w:p w14:paraId="6E590AE9" w14:textId="77777777" w:rsidR="00DB2760" w:rsidRDefault="00DB2760" w:rsidP="00DB2760">
      <w:pPr>
        <w:pStyle w:val="NormalWeb"/>
        <w:spacing w:line="480" w:lineRule="auto"/>
        <w:rPr>
          <w:rFonts w:ascii="Times" w:hAnsi="Times" w:cs="TimesNewRomanPSMT"/>
        </w:rPr>
      </w:pPr>
    </w:p>
    <w:p w14:paraId="6D15442A" w14:textId="77777777" w:rsidR="00DB2760" w:rsidRDefault="00DB2760" w:rsidP="00DB2760">
      <w:pPr>
        <w:pStyle w:val="NormalWeb"/>
        <w:spacing w:line="480" w:lineRule="auto"/>
        <w:jc w:val="center"/>
        <w:rPr>
          <w:rFonts w:ascii="Times" w:hAnsi="Times" w:cs="TimesNewRomanPSMT"/>
        </w:rPr>
      </w:pPr>
    </w:p>
    <w:p w14:paraId="21E68B0A" w14:textId="77777777" w:rsidR="00DB2760" w:rsidRDefault="00DB2760" w:rsidP="00DB2760">
      <w:pPr>
        <w:pStyle w:val="NormalWeb"/>
        <w:spacing w:line="480" w:lineRule="auto"/>
        <w:ind w:firstLine="720"/>
        <w:jc w:val="center"/>
        <w:rPr>
          <w:rFonts w:ascii="Times" w:hAnsi="Times" w:cs="TimesNewRomanPSMT"/>
        </w:rPr>
      </w:pPr>
      <w:r w:rsidRPr="00DB2760">
        <w:rPr>
          <w:rFonts w:ascii="Times" w:hAnsi="Times" w:cs="TimesNewRomanPSMT"/>
        </w:rPr>
        <w:t>Comprehensive Needs Assessment Learner’s</w:t>
      </w:r>
    </w:p>
    <w:p w14:paraId="43731AE3" w14:textId="5074AD12" w:rsidR="00DB2760" w:rsidRDefault="00DB2760" w:rsidP="00DB2760">
      <w:pPr>
        <w:pStyle w:val="NormalWeb"/>
        <w:spacing w:line="480" w:lineRule="auto"/>
        <w:ind w:firstLine="720"/>
        <w:jc w:val="center"/>
        <w:rPr>
          <w:rFonts w:ascii="Times" w:hAnsi="Times" w:cs="TimesNewRomanPSMT"/>
        </w:rPr>
      </w:pPr>
      <w:r>
        <w:rPr>
          <w:rFonts w:ascii="Times" w:hAnsi="Times" w:cs="TimesNewRomanPSMT"/>
        </w:rPr>
        <w:t>Name</w:t>
      </w:r>
    </w:p>
    <w:p w14:paraId="22F15076" w14:textId="31DB3CC0" w:rsidR="00DB2760" w:rsidRDefault="00DB2760" w:rsidP="00DB2760">
      <w:pPr>
        <w:pStyle w:val="NormalWeb"/>
        <w:spacing w:line="480" w:lineRule="auto"/>
        <w:ind w:firstLine="720"/>
        <w:jc w:val="center"/>
        <w:rPr>
          <w:rFonts w:ascii="Times" w:hAnsi="Times" w:cs="TimesNewRomanPSMT"/>
        </w:rPr>
      </w:pPr>
      <w:r>
        <w:rPr>
          <w:rFonts w:ascii="Times" w:hAnsi="Times" w:cs="TimesNewRomanPSMT"/>
        </w:rPr>
        <w:t>Institution</w:t>
      </w:r>
    </w:p>
    <w:p w14:paraId="7B4A998D" w14:textId="048950E7" w:rsidR="00DB2760" w:rsidRPr="00DB2760" w:rsidRDefault="00DB2760" w:rsidP="00DB2760">
      <w:pPr>
        <w:pStyle w:val="NormalWeb"/>
        <w:spacing w:line="480" w:lineRule="auto"/>
        <w:ind w:firstLine="720"/>
        <w:jc w:val="center"/>
        <w:rPr>
          <w:rFonts w:ascii="Times" w:hAnsi="Times"/>
        </w:rPr>
      </w:pPr>
      <w:r w:rsidRPr="00DB2760">
        <w:rPr>
          <w:rFonts w:ascii="Times" w:hAnsi="Times" w:cs="TimesNewRomanPSMT"/>
        </w:rPr>
        <w:t xml:space="preserve">Introduction to Care Coordination Comprehensive Needs Assessment </w:t>
      </w:r>
      <w:proofErr w:type="gramStart"/>
      <w:r w:rsidRPr="00DB2760">
        <w:rPr>
          <w:rFonts w:ascii="Times" w:hAnsi="Times" w:cs="TimesNewRomanPSMT"/>
        </w:rPr>
        <w:t>August,</w:t>
      </w:r>
      <w:proofErr w:type="gramEnd"/>
      <w:r w:rsidRPr="00DB2760">
        <w:rPr>
          <w:rFonts w:ascii="Times" w:hAnsi="Times" w:cs="TimesNewRomanPSMT"/>
        </w:rPr>
        <w:t xml:space="preserve"> 2019</w:t>
      </w:r>
    </w:p>
    <w:p w14:paraId="5F4723B6" w14:textId="77777777" w:rsidR="00DB2760" w:rsidRPr="00DB2760" w:rsidRDefault="00DB2760" w:rsidP="00DB2760">
      <w:pPr>
        <w:pStyle w:val="NormalWeb"/>
        <w:spacing w:line="480" w:lineRule="auto"/>
        <w:rPr>
          <w:rFonts w:ascii="Times" w:hAnsi="Times" w:cs="TimesNewRomanPSMT"/>
        </w:rPr>
      </w:pPr>
    </w:p>
    <w:p w14:paraId="5F077B8D" w14:textId="77777777" w:rsidR="00DB2760" w:rsidRPr="00DB2760" w:rsidRDefault="00DB2760" w:rsidP="00DB2760">
      <w:pPr>
        <w:pStyle w:val="NormalWeb"/>
        <w:spacing w:line="480" w:lineRule="auto"/>
        <w:rPr>
          <w:rFonts w:ascii="Times" w:hAnsi="Times" w:cs="TimesNewRomanPSMT"/>
        </w:rPr>
      </w:pPr>
    </w:p>
    <w:p w14:paraId="6DA7C7D2" w14:textId="77777777" w:rsidR="00DB2760" w:rsidRPr="00DB2760" w:rsidRDefault="00DB2760" w:rsidP="00DB2760">
      <w:pPr>
        <w:pStyle w:val="NormalWeb"/>
        <w:spacing w:line="480" w:lineRule="auto"/>
        <w:rPr>
          <w:rFonts w:ascii="Times" w:hAnsi="Times" w:cs="TimesNewRomanPSMT"/>
        </w:rPr>
      </w:pPr>
    </w:p>
    <w:p w14:paraId="023C5BDB" w14:textId="77777777" w:rsidR="00DB2760" w:rsidRPr="00DB2760" w:rsidRDefault="00DB2760" w:rsidP="00DB2760">
      <w:pPr>
        <w:pStyle w:val="NormalWeb"/>
        <w:spacing w:line="480" w:lineRule="auto"/>
        <w:rPr>
          <w:rFonts w:ascii="Times" w:hAnsi="Times" w:cs="TimesNewRomanPSMT"/>
        </w:rPr>
      </w:pPr>
    </w:p>
    <w:p w14:paraId="6F66EBC8" w14:textId="77777777" w:rsidR="00DB2760" w:rsidRPr="00DB2760" w:rsidRDefault="00DB2760" w:rsidP="00DB2760">
      <w:pPr>
        <w:pStyle w:val="NormalWeb"/>
        <w:spacing w:line="480" w:lineRule="auto"/>
        <w:rPr>
          <w:rFonts w:ascii="Times" w:hAnsi="Times" w:cs="TimesNewRomanPSMT"/>
        </w:rPr>
      </w:pPr>
    </w:p>
    <w:p w14:paraId="2046C2EF" w14:textId="77777777" w:rsidR="00DB2760" w:rsidRPr="00DB2760" w:rsidRDefault="00DB2760" w:rsidP="00DB2760">
      <w:pPr>
        <w:pStyle w:val="NormalWeb"/>
        <w:spacing w:line="480" w:lineRule="auto"/>
        <w:rPr>
          <w:rFonts w:ascii="Times" w:hAnsi="Times" w:cs="TimesNewRomanPSMT"/>
        </w:rPr>
      </w:pPr>
    </w:p>
    <w:p w14:paraId="03DBED58" w14:textId="77777777" w:rsidR="00DB2760" w:rsidRPr="00DB2760" w:rsidRDefault="00DB2760" w:rsidP="00DB2760">
      <w:pPr>
        <w:pStyle w:val="NormalWeb"/>
        <w:spacing w:line="480" w:lineRule="auto"/>
        <w:rPr>
          <w:rFonts w:ascii="Times" w:hAnsi="Times" w:cs="TimesNewRomanPSMT"/>
        </w:rPr>
      </w:pPr>
    </w:p>
    <w:p w14:paraId="04928AF1" w14:textId="77777777" w:rsidR="00DB2760" w:rsidRPr="00DB2760" w:rsidRDefault="00DB2760" w:rsidP="00DB2760">
      <w:pPr>
        <w:pStyle w:val="NormalWeb"/>
        <w:spacing w:line="480" w:lineRule="auto"/>
        <w:rPr>
          <w:rFonts w:ascii="Times" w:hAnsi="Times" w:cs="TimesNewRomanPSMT"/>
        </w:rPr>
      </w:pPr>
    </w:p>
    <w:p w14:paraId="7904F699" w14:textId="77777777" w:rsidR="00DB2760" w:rsidRPr="00DB2760" w:rsidRDefault="00DB2760" w:rsidP="00DB2760">
      <w:pPr>
        <w:pStyle w:val="NormalWeb"/>
        <w:spacing w:line="480" w:lineRule="auto"/>
        <w:rPr>
          <w:rFonts w:ascii="Times" w:hAnsi="Times" w:cs="TimesNewRomanPSMT"/>
        </w:rPr>
      </w:pPr>
    </w:p>
    <w:p w14:paraId="040BD9CE" w14:textId="77777777" w:rsidR="00DB2760" w:rsidRPr="00DB2760" w:rsidRDefault="00DB2760" w:rsidP="00DB2760">
      <w:pPr>
        <w:pStyle w:val="NormalWeb"/>
        <w:spacing w:line="480" w:lineRule="auto"/>
        <w:rPr>
          <w:rFonts w:ascii="Times" w:hAnsi="Times" w:cs="TimesNewRomanPSMT"/>
        </w:rPr>
      </w:pPr>
    </w:p>
    <w:p w14:paraId="42F072B2" w14:textId="77777777" w:rsidR="00DB2760" w:rsidRPr="00DB2760" w:rsidRDefault="00DB2760" w:rsidP="00DB2760">
      <w:pPr>
        <w:pStyle w:val="NormalWeb"/>
        <w:spacing w:line="480" w:lineRule="auto"/>
        <w:rPr>
          <w:rFonts w:ascii="Times" w:hAnsi="Times" w:cs="TimesNewRomanPSMT"/>
        </w:rPr>
      </w:pPr>
    </w:p>
    <w:p w14:paraId="75B84907" w14:textId="77777777" w:rsidR="00DB2760" w:rsidRPr="00DB2760" w:rsidRDefault="00DB2760" w:rsidP="00DB2760">
      <w:pPr>
        <w:pStyle w:val="NormalWeb"/>
        <w:spacing w:line="480" w:lineRule="auto"/>
        <w:rPr>
          <w:rFonts w:ascii="Times" w:hAnsi="Times" w:cs="TimesNewRomanPSMT"/>
        </w:rPr>
      </w:pPr>
    </w:p>
    <w:p w14:paraId="6FCC5A97" w14:textId="77777777" w:rsidR="00DB2760" w:rsidRDefault="00DB2760" w:rsidP="00DB2760">
      <w:pPr>
        <w:pStyle w:val="NormalWeb"/>
        <w:spacing w:line="480" w:lineRule="auto"/>
        <w:rPr>
          <w:rFonts w:ascii="Times" w:hAnsi="Times" w:cs="TimesNewRomanPSMT"/>
        </w:rPr>
      </w:pPr>
    </w:p>
    <w:p w14:paraId="4A782021" w14:textId="77777777" w:rsidR="00DB2760" w:rsidRDefault="00DB2760" w:rsidP="00DB2760">
      <w:pPr>
        <w:pStyle w:val="NormalWeb"/>
        <w:spacing w:line="480" w:lineRule="auto"/>
        <w:jc w:val="center"/>
        <w:rPr>
          <w:rFonts w:ascii="Times" w:hAnsi="Times" w:cs="TimesNewRomanPSMT"/>
        </w:rPr>
      </w:pPr>
      <w:r w:rsidRPr="00DB2760">
        <w:rPr>
          <w:rFonts w:ascii="Times" w:hAnsi="Times" w:cs="TimesNewRomanPSMT"/>
          <w:b/>
          <w:bCs/>
        </w:rPr>
        <w:t>Comprehensive Needs Assessment</w:t>
      </w:r>
    </w:p>
    <w:p w14:paraId="0105A1BA" w14:textId="27205EA3" w:rsidR="00DB2760" w:rsidRPr="00DB2760" w:rsidRDefault="00DB2760" w:rsidP="00DB2760">
      <w:pPr>
        <w:pStyle w:val="NormalWeb"/>
        <w:spacing w:line="480" w:lineRule="auto"/>
        <w:jc w:val="center"/>
        <w:rPr>
          <w:rFonts w:ascii="Times" w:hAnsi="Times"/>
        </w:rPr>
      </w:pPr>
      <w:r w:rsidRPr="00DB2760">
        <w:rPr>
          <w:rFonts w:ascii="Times" w:hAnsi="Times" w:cs="TimesNewRomanPSMT"/>
        </w:rPr>
        <w:t xml:space="preserve">A comprehensive health needs assessment of patients enables health care providers </w:t>
      </w:r>
      <w:proofErr w:type="spellStart"/>
      <w:r w:rsidRPr="00DB2760">
        <w:rPr>
          <w:rFonts w:ascii="Times" w:hAnsi="Times" w:cs="TimesNewRomanPSMT"/>
        </w:rPr>
        <w:t>tosystematically</w:t>
      </w:r>
      <w:proofErr w:type="spellEnd"/>
      <w:r w:rsidRPr="00DB2760">
        <w:rPr>
          <w:rFonts w:ascii="Times" w:hAnsi="Times" w:cs="TimesNewRomanPSMT"/>
        </w:rPr>
        <w:t xml:space="preserve"> use their resources to disperse care efficiently. In this paper, a comprehensive needs assessment of a simulated patient is discussed to highlight the importance of comprehensive needs assessments in identifying and reducing gaps in patient care and implementing effective care coordination. This paper discusses the various dimensions of a patient’s needs and the strategies to extract relevant patient information to understand these needs to establish the significance of a health needs assessment. This paper also presents effective evidence-based practices in care coordination and the importance of a multidisciplinary approach to patient care for improving health care outcomes. </w:t>
      </w:r>
    </w:p>
    <w:p w14:paraId="501A0ACD" w14:textId="3AA562AE" w:rsidR="00DB2760" w:rsidRPr="00DB2760" w:rsidRDefault="00DB2760" w:rsidP="00DB2760">
      <w:pPr>
        <w:pStyle w:val="NormalWeb"/>
        <w:spacing w:line="480" w:lineRule="auto"/>
        <w:jc w:val="center"/>
        <w:rPr>
          <w:rFonts w:ascii="Times" w:hAnsi="Times"/>
        </w:rPr>
      </w:pPr>
      <w:r w:rsidRPr="00DB2760">
        <w:rPr>
          <w:rFonts w:ascii="Times" w:hAnsi="Times"/>
          <w:b/>
          <w:bCs/>
        </w:rPr>
        <w:t>Current Gaps in Mr. Decker’s Care</w:t>
      </w:r>
    </w:p>
    <w:p w14:paraId="121D3717"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Mr. Decker is a 79-year-old diabetic patient readmitted to one of Vila Health’s hospitals. Initially admitted with a badly infected toe, Mr. Decker’s inability to adhere to medical instructions after </w:t>
      </w:r>
      <w:r w:rsidRPr="00DB2760">
        <w:rPr>
          <w:rFonts w:ascii="Times" w:hAnsi="Times" w:cs="TimesNewRomanPSMT"/>
        </w:rPr>
        <w:lastRenderedPageBreak/>
        <w:t xml:space="preserve">discharge has resulted in him being readmitted with sepsis. Mr. Decker’s readmission can be attributed to the following gaps in care: </w:t>
      </w:r>
    </w:p>
    <w:p w14:paraId="05D7196B" w14:textId="77777777" w:rsidR="00DB2760" w:rsidRPr="00DB2760" w:rsidRDefault="00DB2760" w:rsidP="00DB2760">
      <w:pPr>
        <w:pStyle w:val="NormalWeb"/>
        <w:numPr>
          <w:ilvl w:val="0"/>
          <w:numId w:val="1"/>
        </w:numPr>
        <w:spacing w:line="480" w:lineRule="auto"/>
        <w:rPr>
          <w:rFonts w:ascii="Times" w:hAnsi="Times"/>
        </w:rPr>
      </w:pPr>
      <w:r w:rsidRPr="00DB2760">
        <w:rPr>
          <w:rFonts w:ascii="Times" w:hAnsi="Times" w:cs="TimesNewRomanPSMT"/>
        </w:rPr>
        <w:t xml:space="preserve">Lack of an interdisciplinary approach to care: The inability of the health care provider to ensure that factors such as diabetes and aging are given due consideration while dispersing care </w:t>
      </w:r>
    </w:p>
    <w:p w14:paraId="27F6C9DB" w14:textId="77777777" w:rsidR="00DB2760" w:rsidRPr="00DB2760" w:rsidRDefault="00DB2760" w:rsidP="00DB2760">
      <w:pPr>
        <w:pStyle w:val="NormalWeb"/>
        <w:numPr>
          <w:ilvl w:val="0"/>
          <w:numId w:val="1"/>
        </w:numPr>
        <w:spacing w:line="480" w:lineRule="auto"/>
        <w:rPr>
          <w:rFonts w:ascii="Times" w:hAnsi="Times"/>
        </w:rPr>
      </w:pPr>
      <w:r w:rsidRPr="00DB2760">
        <w:rPr>
          <w:rFonts w:ascii="Times" w:hAnsi="Times" w:cs="TimesNewRomanPSMT"/>
        </w:rPr>
        <w:t xml:space="preserve">Failure to ensure adequate post-discharge support: Lack of adequate efforts from the care provider to ensure that the patient effectively carries out the post-discharge care instructions </w:t>
      </w:r>
    </w:p>
    <w:p w14:paraId="41AAA1F0" w14:textId="77777777" w:rsidR="00DB2760" w:rsidRPr="00DB2760" w:rsidRDefault="00DB2760" w:rsidP="00DB2760">
      <w:pPr>
        <w:pStyle w:val="NormalWeb"/>
        <w:numPr>
          <w:ilvl w:val="0"/>
          <w:numId w:val="1"/>
        </w:numPr>
        <w:spacing w:line="480" w:lineRule="auto"/>
        <w:rPr>
          <w:rFonts w:ascii="Times" w:hAnsi="Times"/>
        </w:rPr>
      </w:pPr>
      <w:r w:rsidRPr="00DB2760">
        <w:rPr>
          <w:rFonts w:ascii="Times" w:hAnsi="Times" w:cs="TimesNewRomanPSMT"/>
        </w:rPr>
        <w:t xml:space="preserve">Lack of consideration for the patient’s financial standing: The patient’s poor financial standing was not considered during the design and management of the patient’s care </w:t>
      </w:r>
    </w:p>
    <w:p w14:paraId="27DBE676" w14:textId="64DEA25B" w:rsidR="00DB2760" w:rsidRPr="00DB2760" w:rsidRDefault="00DB2760" w:rsidP="00DB2760">
      <w:pPr>
        <w:pStyle w:val="NormalWeb"/>
        <w:spacing w:line="480" w:lineRule="auto"/>
        <w:jc w:val="center"/>
        <w:rPr>
          <w:rFonts w:ascii="Times" w:hAnsi="Times"/>
        </w:rPr>
      </w:pPr>
      <w:r w:rsidRPr="00DB2760">
        <w:rPr>
          <w:rFonts w:ascii="Times" w:hAnsi="Times" w:cs="TimesNewRomanPSMT"/>
        </w:rPr>
        <w:t>To ensure that Mr. Decker’s physiological, social, religious, and psychological needs are effectively addressed, the needs assessment tool adopted is the Patient Centered Assessment Method. The method is an integrated needs assessment tool that assesses patients’ physical, social, psychological, and mental well-being needs. The tool was selected because it is action oriented. It facilitates the addressal of patients’ holistic needs, expanding beyond the realm of</w:t>
      </w:r>
      <w:r>
        <w:rPr>
          <w:rFonts w:ascii="Times" w:hAnsi="Times" w:cs="TimesNewRomanPSMT"/>
        </w:rPr>
        <w:t xml:space="preserve"> </w:t>
      </w:r>
      <w:r w:rsidRPr="00DB2760">
        <w:rPr>
          <w:rFonts w:ascii="Times" w:hAnsi="Times" w:cs="TimesNewRomanPSMT"/>
        </w:rPr>
        <w:t xml:space="preserve">physiological health care to address their psychosocial needs (Maxwell et al., 2018). </w:t>
      </w:r>
      <w:r w:rsidRPr="00DB2760">
        <w:rPr>
          <w:rFonts w:ascii="Times" w:hAnsi="Times"/>
          <w:b/>
          <w:bCs/>
        </w:rPr>
        <w:t>Informational Needs for Patient’s Optimal Care:</w:t>
      </w:r>
    </w:p>
    <w:p w14:paraId="3A24FDC1"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An effective assessment of Mr. Decker’s current care needs depends on the following types of information: </w:t>
      </w:r>
    </w:p>
    <w:p w14:paraId="3827BA7E" w14:textId="77777777" w:rsidR="00DB2760" w:rsidRPr="00DB2760" w:rsidRDefault="00DB2760" w:rsidP="00DB2760">
      <w:pPr>
        <w:pStyle w:val="NormalWeb"/>
        <w:numPr>
          <w:ilvl w:val="0"/>
          <w:numId w:val="2"/>
        </w:numPr>
        <w:spacing w:line="480" w:lineRule="auto"/>
        <w:rPr>
          <w:rFonts w:ascii="Times" w:hAnsi="Times"/>
        </w:rPr>
      </w:pPr>
      <w:r w:rsidRPr="00DB2760">
        <w:rPr>
          <w:rFonts w:ascii="Times" w:hAnsi="Times" w:cs="TimesNewRomanPSMT"/>
        </w:rPr>
        <w:t xml:space="preserve">Mr. Decker’s clinical information, namely age, allergies, weight, current diagnosis, and medical history (Kelley, Docherty, &amp; Brandon, 2013) </w:t>
      </w:r>
    </w:p>
    <w:p w14:paraId="672A4465" w14:textId="77777777" w:rsidR="00DB2760" w:rsidRPr="00DB2760" w:rsidRDefault="00DB2760" w:rsidP="00DB2760">
      <w:pPr>
        <w:pStyle w:val="NormalWeb"/>
        <w:numPr>
          <w:ilvl w:val="0"/>
          <w:numId w:val="2"/>
        </w:numPr>
        <w:spacing w:line="480" w:lineRule="auto"/>
        <w:rPr>
          <w:rFonts w:ascii="Times" w:hAnsi="Times"/>
        </w:rPr>
      </w:pPr>
      <w:r w:rsidRPr="00DB2760">
        <w:rPr>
          <w:rFonts w:ascii="Times" w:hAnsi="Times" w:cs="TimesNewRomanPSMT"/>
        </w:rPr>
        <w:lastRenderedPageBreak/>
        <w:t xml:space="preserve">Personal information such as his schedules, preferences, typical behaviors, and interests, which will provide clarity on how Mr. Decker’s care needs are to be addressed (Kelley et al., 2013) </w:t>
      </w:r>
    </w:p>
    <w:p w14:paraId="5B8EC19D" w14:textId="77777777" w:rsidR="00DB2760" w:rsidRPr="00DB2760" w:rsidRDefault="00DB2760" w:rsidP="00DB2760">
      <w:pPr>
        <w:pStyle w:val="NormalWeb"/>
        <w:spacing w:line="480" w:lineRule="auto"/>
        <w:ind w:left="720"/>
        <w:rPr>
          <w:rFonts w:ascii="Times" w:hAnsi="Times"/>
        </w:rPr>
      </w:pPr>
      <w:r w:rsidRPr="00DB2760">
        <w:rPr>
          <w:rFonts w:ascii="Times" w:hAnsi="Times"/>
          <w:b/>
          <w:bCs/>
        </w:rPr>
        <w:t xml:space="preserve">Strategy for Gathering Additional Necessary Assessment Data </w:t>
      </w:r>
    </w:p>
    <w:p w14:paraId="0EA68598" w14:textId="77777777" w:rsidR="00DB2760" w:rsidRPr="00DB2760" w:rsidRDefault="00DB2760" w:rsidP="00DB2760">
      <w:pPr>
        <w:pStyle w:val="NormalWeb"/>
        <w:spacing w:line="480" w:lineRule="auto"/>
        <w:ind w:left="720"/>
        <w:rPr>
          <w:rFonts w:ascii="Times" w:hAnsi="Times"/>
        </w:rPr>
      </w:pPr>
      <w:r w:rsidRPr="00DB2760">
        <w:rPr>
          <w:rFonts w:ascii="Times" w:hAnsi="Times" w:cs="TimesNewRomanPSMT"/>
        </w:rPr>
        <w:t xml:space="preserve">As a personal interview does not help gather all the information necessary for the adequate delivery of care, the following data collection strategies are formulated: </w:t>
      </w:r>
    </w:p>
    <w:p w14:paraId="255FDEBA" w14:textId="77777777" w:rsidR="00DB2760" w:rsidRPr="00DB2760" w:rsidRDefault="00DB2760" w:rsidP="00DB2760">
      <w:pPr>
        <w:pStyle w:val="NormalWeb"/>
        <w:spacing w:line="480" w:lineRule="auto"/>
        <w:rPr>
          <w:rFonts w:ascii="Times" w:hAnsi="Times"/>
        </w:rPr>
      </w:pPr>
      <w:r w:rsidRPr="00DB2760">
        <w:rPr>
          <w:rFonts w:ascii="Times" w:hAnsi="Times"/>
        </w:rPr>
        <w:t xml:space="preserve">• </w:t>
      </w:r>
      <w:r w:rsidRPr="00DB2760">
        <w:rPr>
          <w:rFonts w:ascii="Times" w:hAnsi="Times" w:cs="TimesNewRomanPSMT"/>
        </w:rPr>
        <w:t xml:space="preserve">Thoroughly scanning Mr. Decker’s activities across social media platforms to collect </w:t>
      </w:r>
    </w:p>
    <w:p w14:paraId="69F05C7C"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information about his behavior patterns, his daily routines, and the significant events he has been a part of will help provide clarity on his personalized needs and the various interrelated factors affecting his care. </w:t>
      </w:r>
    </w:p>
    <w:p w14:paraId="4153E8BE" w14:textId="77777777" w:rsidR="00DB2760" w:rsidRPr="00DB2760" w:rsidRDefault="00DB2760" w:rsidP="00DB2760">
      <w:pPr>
        <w:pStyle w:val="NormalWeb"/>
        <w:numPr>
          <w:ilvl w:val="0"/>
          <w:numId w:val="3"/>
        </w:numPr>
        <w:spacing w:line="480" w:lineRule="auto"/>
        <w:rPr>
          <w:rFonts w:ascii="Times" w:hAnsi="Times"/>
        </w:rPr>
      </w:pPr>
      <w:r w:rsidRPr="00DB2760">
        <w:rPr>
          <w:rFonts w:ascii="Times" w:hAnsi="Times" w:cs="TimesNewRomanPSMT"/>
        </w:rPr>
        <w:t xml:space="preserve">In-depth interviews with close relatives and friends about Mr. Decker’s habits, nature, and recent activities will help understand the factors that affect care and facilitate personalized care measures that suit his situation. </w:t>
      </w:r>
    </w:p>
    <w:p w14:paraId="4B14A307" w14:textId="77777777" w:rsidR="00DB2760" w:rsidRPr="00DB2760" w:rsidRDefault="00DB2760" w:rsidP="00DB2760">
      <w:pPr>
        <w:pStyle w:val="NormalWeb"/>
        <w:numPr>
          <w:ilvl w:val="0"/>
          <w:numId w:val="3"/>
        </w:numPr>
        <w:spacing w:line="480" w:lineRule="auto"/>
        <w:rPr>
          <w:rFonts w:ascii="Times" w:hAnsi="Times"/>
        </w:rPr>
      </w:pPr>
      <w:r w:rsidRPr="00DB2760">
        <w:rPr>
          <w:rFonts w:ascii="Times" w:hAnsi="Times" w:cs="TimesNewRomanPSMT"/>
        </w:rPr>
        <w:t xml:space="preserve">The electronic health record systems at Mr. Decker’s preceding health care providers are important sources of clinical information. Health information exchange systems are set up to access Mr. Decker’s longitudinal clinical data from different health care providers to get clarity on the various factors such as diabetes and aging that have a bearing on his current condition. The clinical history will help ensure that Mr. Decker’s care addresses these interrelated factors and facilitates a holistic treatment. </w:t>
      </w:r>
    </w:p>
    <w:p w14:paraId="71BF33DC" w14:textId="77777777" w:rsidR="00DB2760" w:rsidRPr="00DB2760" w:rsidRDefault="00DB2760" w:rsidP="00DB2760">
      <w:pPr>
        <w:pStyle w:val="NormalWeb"/>
        <w:spacing w:line="480" w:lineRule="auto"/>
        <w:ind w:left="720"/>
        <w:rPr>
          <w:rFonts w:ascii="Times" w:hAnsi="Times"/>
        </w:rPr>
      </w:pPr>
      <w:r w:rsidRPr="00DB2760">
        <w:rPr>
          <w:rFonts w:ascii="Times" w:hAnsi="Times"/>
          <w:b/>
          <w:bCs/>
        </w:rPr>
        <w:t xml:space="preserve">Societal, Economic, and Interdisciplinary Factors Affecting Patient Care </w:t>
      </w:r>
    </w:p>
    <w:p w14:paraId="4F35637A" w14:textId="77777777" w:rsidR="00DB2760" w:rsidRPr="00DB2760" w:rsidRDefault="00DB2760" w:rsidP="00DB2760">
      <w:pPr>
        <w:pStyle w:val="NormalWeb"/>
        <w:spacing w:line="480" w:lineRule="auto"/>
        <w:ind w:left="720"/>
        <w:rPr>
          <w:rFonts w:ascii="Times" w:hAnsi="Times"/>
        </w:rPr>
      </w:pPr>
      <w:r w:rsidRPr="00DB2760">
        <w:rPr>
          <w:rFonts w:ascii="Times" w:hAnsi="Times" w:cs="TimesNewRomanPSMT"/>
        </w:rPr>
        <w:lastRenderedPageBreak/>
        <w:t xml:space="preserve">The factors affecting Mr. Decker’s health care outcomes are the following: </w:t>
      </w:r>
    </w:p>
    <w:p w14:paraId="12D9FF31" w14:textId="7D66D984" w:rsidR="00DB2760" w:rsidRPr="00DB2760" w:rsidRDefault="00DB2760" w:rsidP="00DB2760">
      <w:pPr>
        <w:pStyle w:val="NormalWeb"/>
        <w:numPr>
          <w:ilvl w:val="0"/>
          <w:numId w:val="3"/>
        </w:numPr>
        <w:spacing w:line="480" w:lineRule="auto"/>
        <w:rPr>
          <w:rFonts w:ascii="Times" w:hAnsi="Times"/>
        </w:rPr>
      </w:pPr>
      <w:r w:rsidRPr="00DB2760">
        <w:rPr>
          <w:rFonts w:ascii="Times" w:hAnsi="Times" w:cs="TimesNewRomanPSMT"/>
        </w:rPr>
        <w:t xml:space="preserve">Aging: The physiological changes that occur in an aging person present immense challenges in the diagnosis, treatment, and recovery of geriatric patients (above 60 years of age) with sepsis. Geriatric patients usually show atypical, non-specific symptoms such as altered mental status, lethargy, dehydration, loss of appetite, and weakness, making the diagnosis challenging. Being an inflammatory consequence to an infection, sepsis is conventionally diagnosed using systemic inflammatory response syndrome criteria, which are not normally met by geriatric patients. According to Clifford et al. (2016), geriatric patients undergo pharmacokinetic changes, namely degeneration in the ability to absorb, metabolize, distribute, and eliminate drugs. These pharmacokinetic changes have significant implications on the treatment of sepsis and, consequently, result in the need for special considerations while treating geriatric patients. Also, geriatric adults usually witness </w:t>
      </w:r>
      <w:proofErr w:type="spellStart"/>
      <w:proofErr w:type="gramStart"/>
      <w:r w:rsidRPr="00DB2760">
        <w:rPr>
          <w:rFonts w:ascii="Times" w:hAnsi="Times" w:cs="TimesNewRomanPSMT"/>
        </w:rPr>
        <w:t>immunosenescence</w:t>
      </w:r>
      <w:proofErr w:type="spellEnd"/>
      <w:r w:rsidRPr="00DB2760">
        <w:rPr>
          <w:rFonts w:ascii="Times" w:hAnsi="Times" w:cs="TimesNewRomanPSMT"/>
        </w:rPr>
        <w:t xml:space="preserve"> </w:t>
      </w:r>
      <w:r>
        <w:rPr>
          <w:rFonts w:ascii="Times" w:hAnsi="Times"/>
        </w:rPr>
        <w:t xml:space="preserve"> </w:t>
      </w:r>
      <w:r w:rsidRPr="00DB2760">
        <w:rPr>
          <w:rFonts w:ascii="Times" w:hAnsi="Times" w:cs="TimesNewRomanPSMT"/>
        </w:rPr>
        <w:t>(</w:t>
      </w:r>
      <w:proofErr w:type="gramEnd"/>
      <w:r w:rsidRPr="00DB2760">
        <w:rPr>
          <w:rFonts w:ascii="Times" w:hAnsi="Times" w:cs="TimesNewRomanPSMT"/>
        </w:rPr>
        <w:t xml:space="preserve">changes in the immune system), which impedes the swiftness of the recovery process in geriatric patients (Clifford et al., 2016). </w:t>
      </w:r>
    </w:p>
    <w:p w14:paraId="6C4AD5FF" w14:textId="407EB18E" w:rsidR="00DB2760" w:rsidRPr="00DB2760" w:rsidRDefault="00DB2760" w:rsidP="00DB2760">
      <w:pPr>
        <w:pStyle w:val="NormalWeb"/>
        <w:numPr>
          <w:ilvl w:val="0"/>
          <w:numId w:val="4"/>
        </w:numPr>
        <w:spacing w:line="480" w:lineRule="auto"/>
        <w:rPr>
          <w:rFonts w:ascii="Times" w:hAnsi="Times"/>
        </w:rPr>
      </w:pPr>
      <w:r w:rsidRPr="00DB2760">
        <w:rPr>
          <w:rFonts w:ascii="Times" w:hAnsi="Times" w:cs="TimesNewRomanPSMT"/>
        </w:rPr>
        <w:t xml:space="preserve">Financing for health care: Mr. Decker is a 79-year-old man whose accessibility to health care depends primarily on Medicare, the national insurance health care program. Although Medicare covers hospitalization and medical insurance, the level of care depends on the type of insurance plan opted. The 2019 cost estimates for Medicare stand at 437 U.S. dollars as the premium per month for the hospital insurance plan (Part A) and 135.50 U.S. dollars as the premium per month for the medical insurance plan (Part B), with higher costs for other high-end plans (U.S. Centers for Medicare and Medicaid </w:t>
      </w:r>
      <w:r w:rsidRPr="00DB2760">
        <w:rPr>
          <w:rFonts w:ascii="Times" w:hAnsi="Times" w:cs="TimesNewRomanPSMT"/>
        </w:rPr>
        <w:lastRenderedPageBreak/>
        <w:t xml:space="preserve">Services, n.d.). Mr. Decker’s dismal income status has affected the nature of the Medicare plan he could afford, thus impacting care outcomes. </w:t>
      </w:r>
    </w:p>
    <w:p w14:paraId="0E007779" w14:textId="77777777" w:rsidR="00DB2760" w:rsidRPr="00DB2760" w:rsidRDefault="00DB2760" w:rsidP="00DB2760">
      <w:pPr>
        <w:pStyle w:val="NormalWeb"/>
        <w:numPr>
          <w:ilvl w:val="0"/>
          <w:numId w:val="4"/>
        </w:numPr>
        <w:spacing w:line="480" w:lineRule="auto"/>
        <w:rPr>
          <w:rFonts w:ascii="Times" w:hAnsi="Times"/>
        </w:rPr>
      </w:pPr>
      <w:r w:rsidRPr="00DB2760">
        <w:rPr>
          <w:rFonts w:ascii="Times" w:hAnsi="Times" w:cs="TimesNewRomanPSMT"/>
        </w:rPr>
        <w:t xml:space="preserve">Social support: Mr. Decker has limited social support in the form of an aged wife who lives with him, a daughter who visits them occasionally, and his nephew and nephew’s wife, who offer occasional assistance. This limited social support has had a significant bearing on his ability to carry out the care instructions laid out by the care providers. Many studies provide evidence about the impact of social support on health outcomes. In a study by </w:t>
      </w:r>
      <w:proofErr w:type="spellStart"/>
      <w:r w:rsidRPr="00DB2760">
        <w:rPr>
          <w:rFonts w:ascii="Times" w:hAnsi="Times" w:cs="TimesNewRomanPSMT"/>
        </w:rPr>
        <w:t>Schöllgen</w:t>
      </w:r>
      <w:proofErr w:type="spellEnd"/>
      <w:r w:rsidRPr="00DB2760">
        <w:rPr>
          <w:rFonts w:ascii="Times" w:hAnsi="Times" w:cs="TimesNewRomanPSMT"/>
        </w:rPr>
        <w:t xml:space="preserve">, </w:t>
      </w:r>
      <w:proofErr w:type="spellStart"/>
      <w:r w:rsidRPr="00DB2760">
        <w:rPr>
          <w:rFonts w:ascii="Times" w:hAnsi="Times" w:cs="TimesNewRomanPSMT"/>
        </w:rPr>
        <w:t>Huxhold</w:t>
      </w:r>
      <w:proofErr w:type="spellEnd"/>
      <w:r w:rsidRPr="00DB2760">
        <w:rPr>
          <w:rFonts w:ascii="Times" w:hAnsi="Times" w:cs="TimesNewRomanPSMT"/>
        </w:rPr>
        <w:t xml:space="preserve">, </w:t>
      </w:r>
      <w:proofErr w:type="spellStart"/>
      <w:r w:rsidRPr="00DB2760">
        <w:rPr>
          <w:rFonts w:ascii="Times" w:hAnsi="Times" w:cs="TimesNewRomanPSMT"/>
        </w:rPr>
        <w:t>Schüz</w:t>
      </w:r>
      <w:proofErr w:type="spellEnd"/>
      <w:r w:rsidRPr="00DB2760">
        <w:rPr>
          <w:rFonts w:ascii="Times" w:hAnsi="Times" w:cs="TimesNewRomanPSMT"/>
        </w:rPr>
        <w:t xml:space="preserve">, and </w:t>
      </w:r>
      <w:proofErr w:type="spellStart"/>
      <w:r w:rsidRPr="00DB2760">
        <w:rPr>
          <w:rFonts w:ascii="Times" w:hAnsi="Times" w:cs="TimesNewRomanPSMT"/>
        </w:rPr>
        <w:t>Tesch-Römer</w:t>
      </w:r>
      <w:proofErr w:type="spellEnd"/>
      <w:r w:rsidRPr="00DB2760">
        <w:rPr>
          <w:rFonts w:ascii="Times" w:hAnsi="Times" w:cs="TimesNewRomanPSMT"/>
        </w:rPr>
        <w:t xml:space="preserve"> (2011), the participants interviewed reported that increased social support was associated with functional and subjective improvements in health (as cited in </w:t>
      </w:r>
      <w:proofErr w:type="spellStart"/>
      <w:r w:rsidRPr="00DB2760">
        <w:rPr>
          <w:rFonts w:ascii="Times" w:hAnsi="Times" w:cs="TimesNewRomanPSMT"/>
        </w:rPr>
        <w:t>Rapoza</w:t>
      </w:r>
      <w:proofErr w:type="spellEnd"/>
      <w:r w:rsidRPr="00DB2760">
        <w:rPr>
          <w:rFonts w:ascii="Times" w:hAnsi="Times" w:cs="TimesNewRomanPSMT"/>
        </w:rPr>
        <w:t xml:space="preserve"> et al., 2016). A study conducted by White, </w:t>
      </w:r>
      <w:proofErr w:type="spellStart"/>
      <w:r w:rsidRPr="00DB2760">
        <w:rPr>
          <w:rFonts w:ascii="Times" w:hAnsi="Times" w:cs="TimesNewRomanPSMT"/>
        </w:rPr>
        <w:t>Philogene</w:t>
      </w:r>
      <w:proofErr w:type="spellEnd"/>
      <w:r w:rsidRPr="00DB2760">
        <w:rPr>
          <w:rFonts w:ascii="Times" w:hAnsi="Times" w:cs="TimesNewRomanPSMT"/>
        </w:rPr>
        <w:t xml:space="preserve">, Fine, and Sinha (2009) found that geriatric adults with insufficient social support reported poorer health outcomes than geriatric adults who were satisfied with their present social support (as cited in </w:t>
      </w:r>
      <w:proofErr w:type="spellStart"/>
      <w:r w:rsidRPr="00DB2760">
        <w:rPr>
          <w:rFonts w:ascii="Times" w:hAnsi="Times" w:cs="TimesNewRomanPSMT"/>
        </w:rPr>
        <w:t>Rapoza</w:t>
      </w:r>
      <w:proofErr w:type="spellEnd"/>
      <w:r w:rsidRPr="00DB2760">
        <w:rPr>
          <w:rFonts w:ascii="Times" w:hAnsi="Times" w:cs="TimesNewRomanPSMT"/>
        </w:rPr>
        <w:t xml:space="preserve"> et al., 2016). The inadequacy of social support in Mr. Decker’s case has been the basis for the worsening of his health condition from a simple toe wound to sepsis. </w:t>
      </w:r>
    </w:p>
    <w:p w14:paraId="2A843D19" w14:textId="77777777" w:rsidR="00DB2760" w:rsidRPr="00DB2760" w:rsidRDefault="00DB2760" w:rsidP="00DB2760">
      <w:pPr>
        <w:pStyle w:val="NormalWeb"/>
        <w:spacing w:line="480" w:lineRule="auto"/>
        <w:rPr>
          <w:rFonts w:ascii="Times" w:hAnsi="Times"/>
        </w:rPr>
      </w:pPr>
      <w:r w:rsidRPr="00DB2760">
        <w:rPr>
          <w:rFonts w:ascii="Times" w:hAnsi="Times"/>
        </w:rPr>
        <w:t xml:space="preserve">• </w:t>
      </w:r>
      <w:r w:rsidRPr="00DB2760">
        <w:rPr>
          <w:rFonts w:ascii="Times" w:hAnsi="Times" w:cs="TimesNewRomanPSMT"/>
        </w:rPr>
        <w:t xml:space="preserve">Diabetes: The fact that Mr. Decker is also diabetic has impacted his care by making him vulnerable to contracting infections at a higher rate and facing increased chances of prolonged mortality as a result of sepsis. This can be substantiated by the fact that diabetes causes a decline in the functioning of a patient’s immune cells, diminishing the ability to clear bacterial formations and increasing infection complications (Frydrych, </w:t>
      </w:r>
      <w:proofErr w:type="spellStart"/>
      <w:r w:rsidRPr="00DB2760">
        <w:rPr>
          <w:rFonts w:ascii="Times" w:hAnsi="Times" w:cs="TimesNewRomanPSMT"/>
        </w:rPr>
        <w:t>Fattahi</w:t>
      </w:r>
      <w:proofErr w:type="spellEnd"/>
      <w:r w:rsidRPr="00DB2760">
        <w:rPr>
          <w:rFonts w:ascii="Times" w:hAnsi="Times" w:cs="TimesNewRomanPSMT"/>
        </w:rPr>
        <w:t xml:space="preserve">, He, Ward, &amp; Delano, 2017). </w:t>
      </w:r>
    </w:p>
    <w:p w14:paraId="2E28A706" w14:textId="77777777" w:rsidR="00DB2760" w:rsidRPr="00DB2760" w:rsidRDefault="00DB2760" w:rsidP="00DB2760">
      <w:pPr>
        <w:pStyle w:val="NormalWeb"/>
        <w:spacing w:line="480" w:lineRule="auto"/>
        <w:rPr>
          <w:rFonts w:ascii="Times" w:hAnsi="Times"/>
        </w:rPr>
      </w:pPr>
      <w:r w:rsidRPr="00DB2760">
        <w:rPr>
          <w:rFonts w:ascii="Times" w:hAnsi="Times"/>
          <w:b/>
          <w:bCs/>
        </w:rPr>
        <w:t xml:space="preserve">Relating Patient Care and Care Coordination Outcomes to Professional Standards </w:t>
      </w:r>
    </w:p>
    <w:p w14:paraId="689C5AD5" w14:textId="77777777" w:rsidR="00DB2760" w:rsidRPr="00DB2760" w:rsidRDefault="00DB2760" w:rsidP="00DB2760">
      <w:pPr>
        <w:pStyle w:val="NormalWeb"/>
        <w:spacing w:line="480" w:lineRule="auto"/>
        <w:rPr>
          <w:rFonts w:ascii="Times" w:hAnsi="Times"/>
        </w:rPr>
      </w:pPr>
      <w:r w:rsidRPr="00DB2760">
        <w:rPr>
          <w:rFonts w:ascii="Times" w:hAnsi="Times" w:cs="TimesNewRomanPSMT"/>
        </w:rPr>
        <w:lastRenderedPageBreak/>
        <w:t xml:space="preserve">The outcomes of patient care and care coordination can be accounted for by measuring the patient safety and quality outcomes of patient care and care coordination. Patient safety outcomes for specific patient care coordination are measured against the standards laid out in the National Quality Forum’s safety report for 2017 and The Joint Commission’s National Patient Safety Goals for 2019. The rationale for measuring safety outcomes based on the National Quality Forum’s safety report is the comprehensiveness of the report and the credibility of the forum, whose primary focus is the development of safety measures (National Quality Forum, n.d.). The rationale for selecting The Joint Commission’s National Patient Safety Goals as a standard for patient safety is that the goals are developed based on the suggestions of a highly interdisciplinary advisory group and the analysis of national sentinel event data (Armstrong, 2014). The quality outcomes of care coordination will be measured using the Care Coordination and Transition Management Logic Model for registered nurses as the standard (Haas &amp; Swan, 2014a). The rationale is that the logic model not only lays out care coordination quality outcomes but also offers holistic linkages between nurse competencies, care coordination, and outcomes (Haas &amp; Swan, 2014b). Also, the logic model offers an innovative approach for interprofessional teams focusing on patient-centered care (Haas &amp; Swan, 2014a). </w:t>
      </w:r>
    </w:p>
    <w:p w14:paraId="3D928EE7"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The Joint Commission annually releases patient safety goals, which have been deemed nationally as qualitative standards for patient safety. Some significant standards for patient safety are identification of a patient by both name and date of birth, dispersal of the right test results to the right patient, accurate labeling of medicines, medical device alarms going off in real time, and ensuring infection prevention, which will set the right benchmark for ensuring effective patient safety outcomes (The Joint Commission, 2019). In terms of The Joint Commission’s standards for patient safety, the care to Mr. Decker was characterized by 100% infection prevention during </w:t>
      </w:r>
      <w:r w:rsidRPr="00DB2760">
        <w:rPr>
          <w:rFonts w:ascii="Times" w:hAnsi="Times" w:cs="TimesNewRomanPSMT"/>
        </w:rPr>
        <w:lastRenderedPageBreak/>
        <w:t xml:space="preserve">acute care, accurate administration of medicines with no adverse effect on the body, and a successful operation without any complication. Some important care coordination quality outcomes defined by the Care Coordination and Transition Management Logic Model are the needs assessment’s taking into account patient needs, preferences, and goals; transmission of the patient’s care plan with zero errors; constant updating of care coordination plans; evidence- based practices’ achieving treatment outcomes of 80%; and optimal understanding of the interdisciplinary roles between team members (Haas &amp; Swan, 2014b). On this front, the specific patient care coordination witnessed 70% treatment outcomes, the patient’s care plan was able to accommodate 90% of the patient’s needs and preferences, and the care plan was updated in a timely manner with zero issues reported within the cross disciplinary team. </w:t>
      </w:r>
    </w:p>
    <w:p w14:paraId="3A80F914" w14:textId="77777777" w:rsidR="00DB2760" w:rsidRPr="00DB2760" w:rsidRDefault="00DB2760" w:rsidP="00DB2760">
      <w:pPr>
        <w:pStyle w:val="NormalWeb"/>
        <w:spacing w:line="480" w:lineRule="auto"/>
        <w:rPr>
          <w:rFonts w:ascii="Times" w:hAnsi="Times"/>
        </w:rPr>
      </w:pPr>
      <w:r w:rsidRPr="00DB2760">
        <w:rPr>
          <w:rFonts w:ascii="Times" w:hAnsi="Times"/>
          <w:b/>
          <w:bCs/>
        </w:rPr>
        <w:t xml:space="preserve">Evidence-Based Practices for Successful Implementation of Patient Care Coordination </w:t>
      </w:r>
    </w:p>
    <w:p w14:paraId="00E040D9"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The following evidence-based practices have been identified to be effective in implementing successful care coordination for patients with sepsis: </w:t>
      </w:r>
    </w:p>
    <w:p w14:paraId="36246A5F" w14:textId="77777777" w:rsidR="00DB2760" w:rsidRPr="00DB2760" w:rsidRDefault="00DB2760" w:rsidP="00DB2760">
      <w:pPr>
        <w:pStyle w:val="NormalWeb"/>
        <w:spacing w:line="480" w:lineRule="auto"/>
        <w:rPr>
          <w:rFonts w:ascii="Times" w:hAnsi="Times"/>
        </w:rPr>
      </w:pPr>
      <w:r w:rsidRPr="00DB2760">
        <w:rPr>
          <w:rFonts w:ascii="Times" w:hAnsi="Times"/>
        </w:rPr>
        <w:t xml:space="preserve">• </w:t>
      </w:r>
      <w:proofErr w:type="spellStart"/>
      <w:r w:rsidRPr="00DB2760">
        <w:rPr>
          <w:rFonts w:ascii="Times" w:hAnsi="Times" w:cs="TimesNewRomanPSMT"/>
        </w:rPr>
        <w:t>GENeralized</w:t>
      </w:r>
      <w:proofErr w:type="spellEnd"/>
      <w:r w:rsidRPr="00DB2760">
        <w:rPr>
          <w:rFonts w:ascii="Times" w:hAnsi="Times" w:cs="TimesNewRomanPSMT"/>
        </w:rPr>
        <w:t xml:space="preserve"> Early Sepsis Intervention Strategies (GENESIS) is an initiative launched for the continuous improvement of the quality of care for patients with sepsis. GENESIS is a comprehensive program with highly pertinent treatment measures such as implementing </w:t>
      </w:r>
    </w:p>
    <w:p w14:paraId="5C43D3A4" w14:textId="4474E76A" w:rsidR="00DB2760" w:rsidRPr="00DB2760" w:rsidRDefault="00DB2760" w:rsidP="00DB2760">
      <w:pPr>
        <w:pStyle w:val="NormalWeb"/>
        <w:spacing w:line="480" w:lineRule="auto"/>
        <w:rPr>
          <w:rFonts w:ascii="Times" w:hAnsi="Times"/>
        </w:rPr>
      </w:pPr>
      <w:r w:rsidRPr="00DB2760">
        <w:rPr>
          <w:rFonts w:ascii="Times" w:hAnsi="Times" w:cs="TimesNewRomanPSMT"/>
        </w:rPr>
        <w:t>institutional assessments for the prevalence of sepsis and mortality, identifying sepsis emergencies, executing 6-hour sepsis bundle interventions via highly coordinated sepsis teams, and implementing feedback. In their study on the impact of GENESIS on a treatment group of 4,801 patients, Cannon et al. (2012) found an average in-hospital mortality reduction of 14% and</w:t>
      </w:r>
      <w:r>
        <w:rPr>
          <w:rFonts w:ascii="Times" w:hAnsi="Times" w:cs="TimesNewRomanPSMT"/>
        </w:rPr>
        <w:t xml:space="preserve"> </w:t>
      </w:r>
      <w:r w:rsidRPr="00DB2760">
        <w:rPr>
          <w:rFonts w:ascii="Times" w:hAnsi="Times" w:cs="TimesNewRomanPSMT"/>
        </w:rPr>
        <w:lastRenderedPageBreak/>
        <w:t xml:space="preserve">a reduction in the duration of stay of 5.1 days in comparison to patient groups that did not receive treatment under GENESIS ( as cited in Perez, 2015). </w:t>
      </w:r>
    </w:p>
    <w:p w14:paraId="311B1EE9" w14:textId="77777777" w:rsidR="00DB2760" w:rsidRPr="00DB2760" w:rsidRDefault="00DB2760" w:rsidP="00DB2760">
      <w:pPr>
        <w:pStyle w:val="NormalWeb"/>
        <w:spacing w:line="480" w:lineRule="auto"/>
        <w:rPr>
          <w:rFonts w:ascii="Times" w:hAnsi="Times"/>
        </w:rPr>
      </w:pPr>
      <w:r w:rsidRPr="00DB2760">
        <w:rPr>
          <w:rFonts w:ascii="Times" w:hAnsi="Times"/>
        </w:rPr>
        <w:t xml:space="preserve">• </w:t>
      </w:r>
      <w:r w:rsidRPr="00DB2760">
        <w:rPr>
          <w:rFonts w:ascii="Times" w:hAnsi="Times" w:cs="TimesNewRomanPSMT"/>
        </w:rPr>
        <w:t>Another effective practice can be the adoption of a centrally coordinated, multifaceted quality improvement program implemented by many hospitals in Brazil (</w:t>
      </w:r>
      <w:proofErr w:type="spellStart"/>
      <w:r w:rsidRPr="00DB2760">
        <w:rPr>
          <w:rFonts w:ascii="Times" w:hAnsi="Times" w:cs="TimesNewRomanPSMT"/>
        </w:rPr>
        <w:t>Noritomi</w:t>
      </w:r>
      <w:proofErr w:type="spellEnd"/>
      <w:r w:rsidRPr="00DB2760">
        <w:rPr>
          <w:rFonts w:ascii="Times" w:hAnsi="Times" w:cs="TimesNewRomanPSMT"/>
        </w:rPr>
        <w:t xml:space="preserve"> et al., 2014). </w:t>
      </w:r>
      <w:proofErr w:type="spellStart"/>
      <w:r w:rsidRPr="00DB2760">
        <w:rPr>
          <w:rFonts w:ascii="Times" w:hAnsi="Times" w:cs="TimesNewRomanPSMT"/>
        </w:rPr>
        <w:t>Noritomi</w:t>
      </w:r>
      <w:proofErr w:type="spellEnd"/>
      <w:r w:rsidRPr="00DB2760">
        <w:rPr>
          <w:rFonts w:ascii="Times" w:hAnsi="Times" w:cs="TimesNewRomanPSMT"/>
        </w:rPr>
        <w:t xml:space="preserve"> et al. (2014), in their study of 10 private hospitals implementing the program, found the initiative to include two phases. The first phase comprised establishing a local committee, setting up a screening procedure for the early detection of sepsis, carrying out proven treatments, establishing guidelines for empirical-based antimicrobial therapy, formulating specific routines for swift laboratory sampling, and establishing routines to enable the efficient administration of antibiotics. The second phase included the collection of data and creation of reports on the rate of compliance and mortality in line with the benchmarks set by the hospital. This practice is a promising one to adopt as </w:t>
      </w:r>
      <w:proofErr w:type="spellStart"/>
      <w:r w:rsidRPr="00DB2760">
        <w:rPr>
          <w:rFonts w:ascii="Times" w:hAnsi="Times" w:cs="TimesNewRomanPSMT"/>
        </w:rPr>
        <w:t>Noritomi</w:t>
      </w:r>
      <w:proofErr w:type="spellEnd"/>
      <w:r w:rsidRPr="00DB2760">
        <w:rPr>
          <w:rFonts w:ascii="Times" w:hAnsi="Times" w:cs="TimesNewRomanPSMT"/>
        </w:rPr>
        <w:t xml:space="preserve"> et al. (2014) found that the studied hospitals showed a decrease in mortality rates from 55% before the implementation of program to 26% after the implementation of the program. </w:t>
      </w:r>
    </w:p>
    <w:p w14:paraId="787D8C6F" w14:textId="77777777" w:rsidR="00DB2760" w:rsidRPr="00DB2760" w:rsidRDefault="00DB2760" w:rsidP="00DB2760">
      <w:pPr>
        <w:pStyle w:val="NormalWeb"/>
        <w:spacing w:line="480" w:lineRule="auto"/>
        <w:rPr>
          <w:rFonts w:ascii="Times" w:hAnsi="Times"/>
        </w:rPr>
      </w:pPr>
      <w:r w:rsidRPr="00DB2760">
        <w:rPr>
          <w:rFonts w:ascii="Times" w:hAnsi="Times"/>
          <w:b/>
          <w:bCs/>
        </w:rPr>
        <w:t xml:space="preserve">Best Practices from the Perspective of Population Health on Patient Outcomes </w:t>
      </w:r>
    </w:p>
    <w:p w14:paraId="03817C95" w14:textId="77777777" w:rsidR="00DB2760" w:rsidRPr="00DB2760" w:rsidRDefault="00DB2760" w:rsidP="00DB2760">
      <w:pPr>
        <w:pStyle w:val="NormalWeb"/>
        <w:spacing w:line="480" w:lineRule="auto"/>
        <w:rPr>
          <w:rFonts w:ascii="Times" w:hAnsi="Times"/>
        </w:rPr>
      </w:pPr>
      <w:r w:rsidRPr="00DB2760">
        <w:rPr>
          <w:rFonts w:ascii="Times" w:hAnsi="Times" w:cs="TimesNewRomanPSMT"/>
        </w:rPr>
        <w:t>From the population standpoint of improving the health outcomes of geriatric patients with sepsis, the following care practices are found to be credible and effective:</w:t>
      </w:r>
      <w:r w:rsidRPr="00DB2760">
        <w:rPr>
          <w:rFonts w:ascii="Times" w:hAnsi="Times" w:cs="TimesNewRomanPSMT"/>
        </w:rPr>
        <w:br/>
      </w:r>
      <w:r w:rsidRPr="00DB2760">
        <w:rPr>
          <w:rFonts w:ascii="Times" w:hAnsi="Times"/>
        </w:rPr>
        <w:t xml:space="preserve">• </w:t>
      </w:r>
      <w:r w:rsidRPr="00DB2760">
        <w:rPr>
          <w:rFonts w:ascii="Times" w:hAnsi="Times" w:cs="TimesNewRomanPSMT"/>
        </w:rPr>
        <w:t xml:space="preserve">As geriatric patients show atypical, nonspecific symptoms (Clifford et al., 2016), a study by </w:t>
      </w:r>
    </w:p>
    <w:p w14:paraId="2A4B5C86"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determining signs of organ disfunction and mortality and, thus, helpful in the diagnosis of sepsis. Singer et al. (2016) found that the sequential organ failure assessment score has widespread familiarity in the clinical care community and serves as an acceptable marker for mortality risks. </w:t>
      </w:r>
    </w:p>
    <w:p w14:paraId="282947CA" w14:textId="77777777" w:rsidR="00DB2760" w:rsidRPr="00DB2760" w:rsidRDefault="00DB2760" w:rsidP="00DB2760">
      <w:pPr>
        <w:pStyle w:val="NormalWeb"/>
        <w:spacing w:line="480" w:lineRule="auto"/>
        <w:rPr>
          <w:rFonts w:ascii="Times" w:hAnsi="Times"/>
        </w:rPr>
      </w:pPr>
      <w:r w:rsidRPr="00DB2760">
        <w:rPr>
          <w:rFonts w:ascii="Times" w:hAnsi="Times"/>
        </w:rPr>
        <w:lastRenderedPageBreak/>
        <w:t xml:space="preserve">• </w:t>
      </w:r>
      <w:r w:rsidRPr="00DB2760">
        <w:rPr>
          <w:rFonts w:ascii="Times" w:hAnsi="Times" w:cs="TimesNewRomanPSMT"/>
        </w:rPr>
        <w:t xml:space="preserve">The Surviving Sepsis Campaign guidelines, which are widely accepted, formulate the Sepsis Six bundle as a best practice for the treatment of sepsis (Lat, </w:t>
      </w:r>
      <w:proofErr w:type="spellStart"/>
      <w:r w:rsidRPr="00DB2760">
        <w:rPr>
          <w:rFonts w:ascii="Times" w:hAnsi="Times" w:cs="TimesNewRomanPSMT"/>
        </w:rPr>
        <w:t>Mashlan</w:t>
      </w:r>
      <w:proofErr w:type="spellEnd"/>
      <w:r w:rsidRPr="00DB2760">
        <w:rPr>
          <w:rFonts w:ascii="Times" w:hAnsi="Times" w:cs="TimesNewRomanPSMT"/>
        </w:rPr>
        <w:t xml:space="preserve">, </w:t>
      </w:r>
      <w:proofErr w:type="spellStart"/>
      <w:r w:rsidRPr="00DB2760">
        <w:rPr>
          <w:rFonts w:ascii="Times" w:hAnsi="Times" w:cs="TimesNewRomanPSMT"/>
        </w:rPr>
        <w:t>Heffey</w:t>
      </w:r>
      <w:proofErr w:type="spellEnd"/>
      <w:r w:rsidRPr="00DB2760">
        <w:rPr>
          <w:rFonts w:ascii="Times" w:hAnsi="Times" w:cs="TimesNewRomanPSMT"/>
        </w:rPr>
        <w:t xml:space="preserve">, &amp; Jones, 2018). Hancock (2015) describes the Sepsis Six bundle as an early intervention program that calls for each patient to receive three diagnostic and three therapeutic steps to treatment within the hour of recognition of the health condition (as cited in Lat et al., 2018). </w:t>
      </w:r>
    </w:p>
    <w:p w14:paraId="52B3D252" w14:textId="0C387E0D" w:rsidR="00DB2760" w:rsidRPr="00DB2760" w:rsidRDefault="00DB2760" w:rsidP="00DB2760">
      <w:pPr>
        <w:pStyle w:val="NormalWeb"/>
        <w:spacing w:line="480" w:lineRule="auto"/>
        <w:ind w:firstLine="720"/>
        <w:jc w:val="center"/>
        <w:rPr>
          <w:rFonts w:ascii="Times" w:hAnsi="Times"/>
        </w:rPr>
      </w:pPr>
      <w:r w:rsidRPr="00DB2760">
        <w:rPr>
          <w:rFonts w:ascii="Times" w:hAnsi="Times"/>
          <w:b/>
          <w:bCs/>
        </w:rPr>
        <w:t>Benefits of Multidisciplinary Approach to Patient Care</w:t>
      </w:r>
    </w:p>
    <w:p w14:paraId="579867A2"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Mr. Decker is an old patient with multiple diagnoses and several complex and multiple needs. A multidisciplinary approach to health care through effective consultation and collaboration involving Mr. Decker, family support, and interdisciplinary teams serves as the only approach that can address the complex multimorbidity, social issues, and psychological issues faced by him (Department of Health &amp; Human </w:t>
      </w:r>
      <w:proofErr w:type="gramStart"/>
      <w:r w:rsidRPr="00DB2760">
        <w:rPr>
          <w:rFonts w:ascii="Times" w:hAnsi="Times" w:cs="TimesNewRomanPSMT"/>
        </w:rPr>
        <w:t>Services ,</w:t>
      </w:r>
      <w:proofErr w:type="gramEnd"/>
      <w:r w:rsidRPr="00DB2760">
        <w:rPr>
          <w:rFonts w:ascii="Times" w:hAnsi="Times" w:cs="TimesNewRomanPSMT"/>
        </w:rPr>
        <w:t xml:space="preserve"> n.d.). This multidisciplinary approach to patient care can also reduce the gaps due to societal, economic, and interprofessional factors. The approach is built on egalitarian-based collaboration between interdisciplinary teams that helps break the hierarchy existing in traditional health care organizations and, thus, improves the satisfaction of employees in the workplace (Hughes, 2018). </w:t>
      </w:r>
    </w:p>
    <w:p w14:paraId="0CCC9582"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The adoption of a multidisciplinary approach to patient care ensures improved patient outcomes. In their study on improving operating room efficiency, </w:t>
      </w:r>
      <w:proofErr w:type="spellStart"/>
      <w:r w:rsidRPr="00DB2760">
        <w:rPr>
          <w:rFonts w:ascii="Times" w:hAnsi="Times" w:cs="TimesNewRomanPSMT"/>
        </w:rPr>
        <w:t>Oyderk</w:t>
      </w:r>
      <w:proofErr w:type="spellEnd"/>
      <w:r w:rsidRPr="00DB2760">
        <w:rPr>
          <w:rFonts w:ascii="Times" w:hAnsi="Times" w:cs="TimesNewRomanPSMT"/>
        </w:rPr>
        <w:t xml:space="preserve">, Harvey, Fishman, and </w:t>
      </w:r>
      <w:proofErr w:type="spellStart"/>
      <w:r w:rsidRPr="00DB2760">
        <w:rPr>
          <w:rFonts w:ascii="Times" w:hAnsi="Times" w:cs="TimesNewRomanPSMT"/>
        </w:rPr>
        <w:t>Shipey</w:t>
      </w:r>
      <w:proofErr w:type="spellEnd"/>
      <w:r w:rsidRPr="00DB2760">
        <w:rPr>
          <w:rFonts w:ascii="Times" w:hAnsi="Times" w:cs="TimesNewRomanPSMT"/>
        </w:rPr>
        <w:t xml:space="preserve"> (1988) found that the adoption of multidisciplinary operating room teams improved turnover time by 16 minutes and considerably decreased delays when compared with operating </w:t>
      </w:r>
    </w:p>
    <w:p w14:paraId="023E48A0"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room teams that are not multidisciplinary, resulting in reduced hospitalization costs (as cited in Epstein, 2014). This study supports the argument that a multidisciplinary approach to patient </w:t>
      </w:r>
      <w:r w:rsidRPr="00DB2760">
        <w:rPr>
          <w:rFonts w:ascii="Times" w:hAnsi="Times" w:cs="TimesNewRomanPSMT"/>
        </w:rPr>
        <w:lastRenderedPageBreak/>
        <w:t xml:space="preserve">care helps reduce the duration of stay, reduce hospitalization costs, and improve patient satisfaction. </w:t>
      </w:r>
    </w:p>
    <w:p w14:paraId="2A74C68B" w14:textId="53DEA0FA" w:rsidR="00DB2760" w:rsidRPr="00DB2760" w:rsidRDefault="00DB2760" w:rsidP="00DB2760">
      <w:pPr>
        <w:pStyle w:val="NormalWeb"/>
        <w:spacing w:line="480" w:lineRule="auto"/>
        <w:jc w:val="center"/>
        <w:rPr>
          <w:rFonts w:ascii="Times" w:hAnsi="Times"/>
        </w:rPr>
      </w:pPr>
      <w:r w:rsidRPr="00DB2760">
        <w:rPr>
          <w:rFonts w:ascii="Times" w:hAnsi="Times"/>
          <w:b/>
          <w:bCs/>
        </w:rPr>
        <w:t>Conclusion</w:t>
      </w:r>
    </w:p>
    <w:p w14:paraId="5CF18C1C"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A comprehensive needs assessment of patient care is presented in this paper through the case of Mr. Decker. This paper successfully identifies the various interrelated factors, such as aging, diabetes, social support, and financial conditions, that need to be addressed for a patient to achieve optimal care. The studies presented in the paper have identified credible standards for the specific care coordination outcomes to draw measures from. This paper successfully identifies holistic and judicious evidence-based practices for managing sepsis. Finally, a strong case for a multidisciplinary approach to care coordination is presented with empirical evidence. </w:t>
      </w:r>
    </w:p>
    <w:p w14:paraId="74E2D763" w14:textId="77777777" w:rsidR="00DB2760" w:rsidRPr="00DB2760" w:rsidRDefault="00DB2760" w:rsidP="00DB2760">
      <w:pPr>
        <w:pStyle w:val="NormalWeb"/>
        <w:spacing w:line="480" w:lineRule="auto"/>
        <w:rPr>
          <w:rFonts w:ascii="Times" w:hAnsi="Times"/>
          <w:b/>
          <w:bCs/>
          <w:sz w:val="22"/>
          <w:szCs w:val="22"/>
        </w:rPr>
      </w:pPr>
    </w:p>
    <w:p w14:paraId="3AA4F494" w14:textId="77777777" w:rsidR="00DB2760" w:rsidRPr="00DB2760" w:rsidRDefault="00DB2760" w:rsidP="00DB2760">
      <w:pPr>
        <w:pStyle w:val="NormalWeb"/>
        <w:spacing w:line="480" w:lineRule="auto"/>
        <w:rPr>
          <w:rFonts w:ascii="Times" w:hAnsi="Times"/>
          <w:b/>
          <w:bCs/>
          <w:sz w:val="22"/>
          <w:szCs w:val="22"/>
        </w:rPr>
      </w:pPr>
    </w:p>
    <w:p w14:paraId="0AFC3A8F" w14:textId="77777777" w:rsidR="00DB2760" w:rsidRPr="00DB2760" w:rsidRDefault="00DB2760" w:rsidP="00DB2760">
      <w:pPr>
        <w:pStyle w:val="NormalWeb"/>
        <w:spacing w:line="480" w:lineRule="auto"/>
        <w:rPr>
          <w:rFonts w:ascii="Times" w:hAnsi="Times"/>
          <w:b/>
          <w:bCs/>
          <w:sz w:val="22"/>
          <w:szCs w:val="22"/>
        </w:rPr>
      </w:pPr>
    </w:p>
    <w:p w14:paraId="26417761" w14:textId="77777777" w:rsidR="00DB2760" w:rsidRPr="00DB2760" w:rsidRDefault="00DB2760" w:rsidP="00DB2760">
      <w:pPr>
        <w:pStyle w:val="NormalWeb"/>
        <w:spacing w:line="480" w:lineRule="auto"/>
        <w:rPr>
          <w:rFonts w:ascii="Times" w:hAnsi="Times"/>
          <w:b/>
          <w:bCs/>
          <w:sz w:val="22"/>
          <w:szCs w:val="22"/>
        </w:rPr>
      </w:pPr>
    </w:p>
    <w:p w14:paraId="2BD0D89F" w14:textId="77777777" w:rsidR="00DB2760" w:rsidRPr="00DB2760" w:rsidRDefault="00DB2760" w:rsidP="00DB2760">
      <w:pPr>
        <w:pStyle w:val="NormalWeb"/>
        <w:spacing w:line="480" w:lineRule="auto"/>
        <w:rPr>
          <w:rFonts w:ascii="Times" w:hAnsi="Times"/>
          <w:b/>
          <w:bCs/>
          <w:sz w:val="22"/>
          <w:szCs w:val="22"/>
        </w:rPr>
      </w:pPr>
    </w:p>
    <w:p w14:paraId="240CDF5B" w14:textId="77777777" w:rsidR="00DB2760" w:rsidRPr="00DB2760" w:rsidRDefault="00DB2760" w:rsidP="00DB2760">
      <w:pPr>
        <w:pStyle w:val="NormalWeb"/>
        <w:spacing w:line="480" w:lineRule="auto"/>
        <w:rPr>
          <w:rFonts w:ascii="Times" w:hAnsi="Times"/>
          <w:b/>
          <w:bCs/>
          <w:sz w:val="22"/>
          <w:szCs w:val="22"/>
        </w:rPr>
      </w:pPr>
    </w:p>
    <w:p w14:paraId="10F497BD" w14:textId="77777777" w:rsidR="00DB2760" w:rsidRPr="00DB2760" w:rsidRDefault="00DB2760" w:rsidP="00DB2760">
      <w:pPr>
        <w:pStyle w:val="NormalWeb"/>
        <w:spacing w:line="480" w:lineRule="auto"/>
        <w:rPr>
          <w:rFonts w:ascii="Times" w:hAnsi="Times"/>
          <w:b/>
          <w:bCs/>
          <w:sz w:val="22"/>
          <w:szCs w:val="22"/>
        </w:rPr>
      </w:pPr>
    </w:p>
    <w:p w14:paraId="1F8A890C" w14:textId="77777777" w:rsidR="00DB2760" w:rsidRPr="00DB2760" w:rsidRDefault="00DB2760" w:rsidP="00DB2760">
      <w:pPr>
        <w:pStyle w:val="NormalWeb"/>
        <w:spacing w:line="480" w:lineRule="auto"/>
        <w:rPr>
          <w:rFonts w:ascii="Times" w:hAnsi="Times"/>
          <w:b/>
          <w:bCs/>
          <w:sz w:val="22"/>
          <w:szCs w:val="22"/>
        </w:rPr>
      </w:pPr>
    </w:p>
    <w:p w14:paraId="037118E3" w14:textId="4820DD51" w:rsidR="00DB2760" w:rsidRPr="00DB2760" w:rsidRDefault="00DB2760" w:rsidP="00DB2760">
      <w:pPr>
        <w:pStyle w:val="NormalWeb"/>
        <w:spacing w:line="480" w:lineRule="auto"/>
        <w:ind w:firstLine="720"/>
        <w:jc w:val="center"/>
        <w:rPr>
          <w:rFonts w:ascii="Times" w:hAnsi="Times"/>
        </w:rPr>
      </w:pPr>
      <w:r w:rsidRPr="00DB2760">
        <w:rPr>
          <w:rFonts w:ascii="Times" w:hAnsi="Times" w:cs="TimesNewRomanPSMT"/>
        </w:rPr>
        <w:lastRenderedPageBreak/>
        <w:t>References</w:t>
      </w:r>
      <w:r w:rsidRPr="00DB2760">
        <w:rPr>
          <w:rFonts w:ascii="Times" w:hAnsi="Times" w:cs="TimesNewRomanPSMT"/>
        </w:rPr>
        <w:br/>
        <w:t xml:space="preserve">Armstrong, G. (2014). Nursing and quality: A historical perspective. In G. Lamb (Ed.), </w:t>
      </w:r>
      <w:r w:rsidRPr="00DB2760">
        <w:rPr>
          <w:rFonts w:ascii="Times" w:hAnsi="Times"/>
          <w:i/>
          <w:iCs/>
        </w:rPr>
        <w:t>Care</w:t>
      </w:r>
    </w:p>
    <w:p w14:paraId="24D46E38" w14:textId="77777777" w:rsidR="00DB2760" w:rsidRPr="00DB2760" w:rsidRDefault="00DB2760" w:rsidP="00DB2760">
      <w:pPr>
        <w:pStyle w:val="NormalWeb"/>
        <w:spacing w:line="480" w:lineRule="auto"/>
        <w:rPr>
          <w:rFonts w:ascii="Times" w:hAnsi="Times"/>
        </w:rPr>
      </w:pPr>
      <w:r w:rsidRPr="00DB2760">
        <w:rPr>
          <w:rFonts w:ascii="Times" w:hAnsi="Times"/>
          <w:i/>
          <w:iCs/>
        </w:rPr>
        <w:t xml:space="preserve">coordination: The game changer: How nursing is revolutionizing quality care </w:t>
      </w:r>
      <w:r w:rsidRPr="00DB2760">
        <w:rPr>
          <w:rFonts w:ascii="Times" w:hAnsi="Times" w:cs="TimesNewRomanPSMT"/>
        </w:rPr>
        <w:t xml:space="preserve">(pp. 13– 28). Retrieved from http://web.a.ebscohost.com.library.capella.edu/ehost/detail/detail?vid=0&amp;sid=86dca3a6- 19c0-46a6-9230-7c1909eaf374%40sdc-v- sessmgr02&amp;bdata=JnNpdGU9ZWhvc3QtbGl2ZSZzY29wZT1zaXRl#AN=719342&amp;db= </w:t>
      </w:r>
      <w:proofErr w:type="spellStart"/>
      <w:r w:rsidRPr="00DB2760">
        <w:rPr>
          <w:rFonts w:ascii="Times" w:hAnsi="Times" w:cs="TimesNewRomanPSMT"/>
        </w:rPr>
        <w:t>nlebk</w:t>
      </w:r>
      <w:proofErr w:type="spellEnd"/>
      <w:r w:rsidRPr="00DB2760">
        <w:rPr>
          <w:rFonts w:ascii="Times" w:hAnsi="Times" w:cs="TimesNewRomanPSMT"/>
        </w:rPr>
        <w:t xml:space="preserve"> </w:t>
      </w:r>
    </w:p>
    <w:p w14:paraId="04952533" w14:textId="77777777" w:rsidR="00DB2760" w:rsidRPr="00DB2760" w:rsidRDefault="00DB2760" w:rsidP="00DB2760">
      <w:pPr>
        <w:pStyle w:val="NormalWeb"/>
        <w:spacing w:line="480" w:lineRule="auto"/>
        <w:rPr>
          <w:rFonts w:ascii="Times" w:hAnsi="Times"/>
        </w:rPr>
      </w:pPr>
      <w:r w:rsidRPr="00DB2760">
        <w:rPr>
          <w:rFonts w:ascii="Times" w:hAnsi="Times" w:cs="TimesNewRomanPSMT"/>
        </w:rPr>
        <w:t>Clifford, K. M., Dy-</w:t>
      </w:r>
      <w:proofErr w:type="spellStart"/>
      <w:r w:rsidRPr="00DB2760">
        <w:rPr>
          <w:rFonts w:ascii="Times" w:hAnsi="Times" w:cs="TimesNewRomanPSMT"/>
        </w:rPr>
        <w:t>Boarman</w:t>
      </w:r>
      <w:proofErr w:type="spellEnd"/>
      <w:r w:rsidRPr="00DB2760">
        <w:rPr>
          <w:rFonts w:ascii="Times" w:hAnsi="Times" w:cs="TimesNewRomanPSMT"/>
        </w:rPr>
        <w:t xml:space="preserve">, E. A., </w:t>
      </w:r>
      <w:proofErr w:type="spellStart"/>
      <w:r w:rsidRPr="00DB2760">
        <w:rPr>
          <w:rFonts w:ascii="Times" w:hAnsi="Times" w:cs="TimesNewRomanPSMT"/>
        </w:rPr>
        <w:t>Haase</w:t>
      </w:r>
      <w:proofErr w:type="spellEnd"/>
      <w:r w:rsidRPr="00DB2760">
        <w:rPr>
          <w:rFonts w:ascii="Times" w:hAnsi="Times" w:cs="TimesNewRomanPSMT"/>
        </w:rPr>
        <w:t xml:space="preserve">, K. K., </w:t>
      </w:r>
      <w:proofErr w:type="spellStart"/>
      <w:r w:rsidRPr="00DB2760">
        <w:rPr>
          <w:rFonts w:ascii="Times" w:hAnsi="Times" w:cs="TimesNewRomanPSMT"/>
        </w:rPr>
        <w:t>Maxvill</w:t>
      </w:r>
      <w:proofErr w:type="spellEnd"/>
      <w:r w:rsidRPr="00DB2760">
        <w:rPr>
          <w:rFonts w:ascii="Times" w:hAnsi="Times" w:cs="TimesNewRomanPSMT"/>
        </w:rPr>
        <w:t xml:space="preserve">, K. H., Pass, S., &amp; Alvarez, C. A. (2016). Challenges with diagnosing and managing sepsis in older adults. </w:t>
      </w:r>
      <w:r w:rsidRPr="00DB2760">
        <w:rPr>
          <w:rFonts w:ascii="Times" w:hAnsi="Times"/>
          <w:i/>
          <w:iCs/>
        </w:rPr>
        <w:t>Expert Review of Anti-Infective Therapy, 14</w:t>
      </w:r>
      <w:r w:rsidRPr="00DB2760">
        <w:rPr>
          <w:rFonts w:ascii="Times" w:hAnsi="Times" w:cs="TimesNewRomanPSMT"/>
        </w:rPr>
        <w:t xml:space="preserve">(2), 231–241. Retrieved from https://doi.org/10.1586/14787210.2016.1135052 </w:t>
      </w:r>
    </w:p>
    <w:p w14:paraId="68C0DA9C" w14:textId="77777777" w:rsidR="00DB2760" w:rsidRPr="00DB2760" w:rsidRDefault="00DB2760" w:rsidP="00DB2760">
      <w:pPr>
        <w:pStyle w:val="NormalWeb"/>
        <w:spacing w:line="480" w:lineRule="auto"/>
        <w:rPr>
          <w:rFonts w:ascii="Times" w:hAnsi="Times"/>
        </w:rPr>
      </w:pPr>
      <w:r w:rsidRPr="00DB2760">
        <w:rPr>
          <w:rFonts w:ascii="Times" w:hAnsi="Times" w:cs="TimesNewRomanPSMT"/>
        </w:rPr>
        <w:t>Department of Health &amp; Human Services. (n.d.). An interdisciplinary approach to caring. Retrieved from https://health.vic.gov.au/hospitals-and-health-services/patient-care/older- people/resources/improving-access/</w:t>
      </w:r>
      <w:proofErr w:type="spellStart"/>
      <w:r w:rsidRPr="00DB2760">
        <w:rPr>
          <w:rFonts w:ascii="Times" w:hAnsi="Times" w:cs="TimesNewRomanPSMT"/>
        </w:rPr>
        <w:t>ia</w:t>
      </w:r>
      <w:proofErr w:type="spellEnd"/>
      <w:r w:rsidRPr="00DB2760">
        <w:rPr>
          <w:rFonts w:ascii="Times" w:hAnsi="Times" w:cs="TimesNewRomanPSMT"/>
        </w:rPr>
        <w:t xml:space="preserve">-interdisciplinary </w:t>
      </w:r>
    </w:p>
    <w:p w14:paraId="498F7EA5"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Epstein, N. E. (2014). Multidisciplinary in-hospital teams improve patient outcomes: A review. </w:t>
      </w:r>
      <w:r w:rsidRPr="00DB2760">
        <w:rPr>
          <w:rFonts w:ascii="Times" w:hAnsi="Times"/>
          <w:i/>
          <w:iCs/>
        </w:rPr>
        <w:t>Surgical Neurology International, 5</w:t>
      </w:r>
      <w:r w:rsidRPr="00DB2760">
        <w:rPr>
          <w:rFonts w:ascii="Times" w:hAnsi="Times" w:cs="TimesNewRomanPSMT"/>
        </w:rPr>
        <w:t xml:space="preserve">(Suppl 7), S295–S303. Retrieved from https://doi.org/10.4103/2152-7806.139612 </w:t>
      </w:r>
    </w:p>
    <w:p w14:paraId="20FA4FF8"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Frydrych, L. M., </w:t>
      </w:r>
      <w:proofErr w:type="spellStart"/>
      <w:r w:rsidRPr="00DB2760">
        <w:rPr>
          <w:rFonts w:ascii="Times" w:hAnsi="Times" w:cs="TimesNewRomanPSMT"/>
        </w:rPr>
        <w:t>Fattahi</w:t>
      </w:r>
      <w:proofErr w:type="spellEnd"/>
      <w:r w:rsidRPr="00DB2760">
        <w:rPr>
          <w:rFonts w:ascii="Times" w:hAnsi="Times" w:cs="TimesNewRomanPSMT"/>
        </w:rPr>
        <w:t xml:space="preserve">, F., He, K., Ward, P. A., &amp; Delano, M. J. (2017). Diabetes and sepsis: Risk, recurrence, and ruination. </w:t>
      </w:r>
      <w:r w:rsidRPr="00DB2760">
        <w:rPr>
          <w:rFonts w:ascii="Times" w:hAnsi="Times"/>
          <w:i/>
          <w:iCs/>
        </w:rPr>
        <w:t>Frontiers in Endocrinology, 8</w:t>
      </w:r>
      <w:r w:rsidRPr="00DB2760">
        <w:rPr>
          <w:rFonts w:ascii="Times" w:hAnsi="Times" w:cs="TimesNewRomanPSMT"/>
        </w:rPr>
        <w:t xml:space="preserve">(271), 1–22. https://doi.org/10.3389/fendo.2017.00271 </w:t>
      </w:r>
    </w:p>
    <w:p w14:paraId="410031F2" w14:textId="77777777" w:rsidR="00DB2760" w:rsidRPr="00DB2760" w:rsidRDefault="00DB2760" w:rsidP="00DB2760">
      <w:pPr>
        <w:pStyle w:val="NormalWeb"/>
        <w:spacing w:line="480" w:lineRule="auto"/>
        <w:rPr>
          <w:rFonts w:ascii="Times" w:hAnsi="Times"/>
        </w:rPr>
      </w:pPr>
      <w:r w:rsidRPr="00DB2760">
        <w:rPr>
          <w:rFonts w:ascii="Times" w:hAnsi="Times" w:cs="TimesNewRomanPSMT"/>
        </w:rPr>
        <w:lastRenderedPageBreak/>
        <w:t xml:space="preserve">Haas, S. A., &amp; Swan, B. A. (2014a). Developing the value proposition for registered nurse care coordination and transition management role in ambulatory care settings. </w:t>
      </w:r>
      <w:r w:rsidRPr="00DB2760">
        <w:rPr>
          <w:rFonts w:ascii="Times" w:hAnsi="Times"/>
          <w:i/>
          <w:iCs/>
        </w:rPr>
        <w:t>Nursing Economic$, 32</w:t>
      </w:r>
      <w:r w:rsidRPr="00DB2760">
        <w:rPr>
          <w:rFonts w:ascii="Times" w:hAnsi="Times" w:cs="TimesNewRomanPSMT"/>
        </w:rPr>
        <w:t xml:space="preserve">(2), 70–79. Retrieved from https://ecommons.luc.edu/nursing_facpubs/11/ </w:t>
      </w:r>
    </w:p>
    <w:p w14:paraId="3F88DDA4"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Haas, S. A., &amp; Swan, B. A. (2014b). Quality and safety outcomes for patients and families. In G. Lamb (Ed.), </w:t>
      </w:r>
      <w:r w:rsidRPr="00DB2760">
        <w:rPr>
          <w:rFonts w:ascii="Times" w:hAnsi="Times"/>
          <w:i/>
          <w:iCs/>
        </w:rPr>
        <w:t xml:space="preserve">Care coordination: The game changer: How nursing is revolutionizing quality care </w:t>
      </w:r>
      <w:r w:rsidRPr="00DB2760">
        <w:rPr>
          <w:rFonts w:ascii="Times" w:hAnsi="Times" w:cs="TimesNewRomanPSMT"/>
        </w:rPr>
        <w:t>(pp. 133–152). Retrieved from http://library.capella.edu/login?url=http://search.ebscohost.com/login.aspx?direct=true&amp;d b=</w:t>
      </w:r>
      <w:proofErr w:type="spellStart"/>
      <w:r w:rsidRPr="00DB2760">
        <w:rPr>
          <w:rFonts w:ascii="Times" w:hAnsi="Times" w:cs="TimesNewRomanPSMT"/>
        </w:rPr>
        <w:t>nlebk&amp;AN</w:t>
      </w:r>
      <w:proofErr w:type="spellEnd"/>
      <w:r w:rsidRPr="00DB2760">
        <w:rPr>
          <w:rFonts w:ascii="Times" w:hAnsi="Times" w:cs="TimesNewRomanPSMT"/>
        </w:rPr>
        <w:t>=719342&amp;site=</w:t>
      </w:r>
      <w:proofErr w:type="spellStart"/>
      <w:r w:rsidRPr="00DB2760">
        <w:rPr>
          <w:rFonts w:ascii="Times" w:hAnsi="Times" w:cs="TimesNewRomanPSMT"/>
        </w:rPr>
        <w:t>ehost-live&amp;scope</w:t>
      </w:r>
      <w:proofErr w:type="spellEnd"/>
      <w:r w:rsidRPr="00DB2760">
        <w:rPr>
          <w:rFonts w:ascii="Times" w:hAnsi="Times" w:cs="TimesNewRomanPSMT"/>
        </w:rPr>
        <w:t>=</w:t>
      </w:r>
      <w:proofErr w:type="spellStart"/>
      <w:r w:rsidRPr="00DB2760">
        <w:rPr>
          <w:rFonts w:ascii="Times" w:hAnsi="Times" w:cs="TimesNewRomanPSMT"/>
        </w:rPr>
        <w:t>site&amp;ebv</w:t>
      </w:r>
      <w:proofErr w:type="spellEnd"/>
      <w:r w:rsidRPr="00DB2760">
        <w:rPr>
          <w:rFonts w:ascii="Times" w:hAnsi="Times" w:cs="TimesNewRomanPSMT"/>
        </w:rPr>
        <w:t>=</w:t>
      </w:r>
      <w:proofErr w:type="spellStart"/>
      <w:r w:rsidRPr="00DB2760">
        <w:rPr>
          <w:rFonts w:ascii="Times" w:hAnsi="Times" w:cs="TimesNewRomanPSMT"/>
        </w:rPr>
        <w:t>EB&amp;ppid</w:t>
      </w:r>
      <w:proofErr w:type="spellEnd"/>
      <w:r w:rsidRPr="00DB2760">
        <w:rPr>
          <w:rFonts w:ascii="Times" w:hAnsi="Times" w:cs="TimesNewRomanPSMT"/>
        </w:rPr>
        <w:t xml:space="preserve">= </w:t>
      </w:r>
    </w:p>
    <w:p w14:paraId="00ABB66C"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Hughes, C. (2018, July 12). Multidisciplinary teamwork ensures better healthcare outcomes. Retrieved from https://td.org/insights/multidisciplinary-teamwork-ensures-better- healthcare-outcomes </w:t>
      </w:r>
    </w:p>
    <w:p w14:paraId="5681F88B"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Kelley, T., Docherty, S., &amp; Brandon, D. (2013). Information needed to support knowing the patient. </w:t>
      </w:r>
      <w:r w:rsidRPr="00DB2760">
        <w:rPr>
          <w:rFonts w:ascii="Times" w:hAnsi="Times"/>
          <w:i/>
          <w:iCs/>
        </w:rPr>
        <w:t>Advances in Nursing Science, 36</w:t>
      </w:r>
      <w:r w:rsidRPr="00DB2760">
        <w:rPr>
          <w:rFonts w:ascii="Times" w:hAnsi="Times" w:cs="TimesNewRomanPSMT"/>
        </w:rPr>
        <w:t xml:space="preserve">(4), 351–363. https://doi.org/10.1097/ANS.0000000000000006 </w:t>
      </w:r>
    </w:p>
    <w:p w14:paraId="5328C5E3"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Lat, S., </w:t>
      </w:r>
      <w:proofErr w:type="spellStart"/>
      <w:r w:rsidRPr="00DB2760">
        <w:rPr>
          <w:rFonts w:ascii="Times" w:hAnsi="Times" w:cs="TimesNewRomanPSMT"/>
        </w:rPr>
        <w:t>Mashlan</w:t>
      </w:r>
      <w:proofErr w:type="spellEnd"/>
      <w:r w:rsidRPr="00DB2760">
        <w:rPr>
          <w:rFonts w:ascii="Times" w:hAnsi="Times" w:cs="TimesNewRomanPSMT"/>
        </w:rPr>
        <w:t xml:space="preserve">, W., </w:t>
      </w:r>
      <w:proofErr w:type="spellStart"/>
      <w:r w:rsidRPr="00DB2760">
        <w:rPr>
          <w:rFonts w:ascii="Times" w:hAnsi="Times" w:cs="TimesNewRomanPSMT"/>
        </w:rPr>
        <w:t>Heffey</w:t>
      </w:r>
      <w:proofErr w:type="spellEnd"/>
      <w:r w:rsidRPr="00DB2760">
        <w:rPr>
          <w:rFonts w:ascii="Times" w:hAnsi="Times" w:cs="TimesNewRomanPSMT"/>
        </w:rPr>
        <w:t xml:space="preserve">, S., &amp; Jones, B. (2018). Recognition and clinical management of sepsis in frail older people. </w:t>
      </w:r>
      <w:r w:rsidRPr="00DB2760">
        <w:rPr>
          <w:rFonts w:ascii="Times" w:hAnsi="Times"/>
          <w:i/>
          <w:iCs/>
        </w:rPr>
        <w:t>Nursing Older People, 30</w:t>
      </w:r>
      <w:r w:rsidRPr="00DB2760">
        <w:rPr>
          <w:rFonts w:ascii="Times" w:hAnsi="Times" w:cs="TimesNewRomanPSMT"/>
        </w:rPr>
        <w:t xml:space="preserve">(2), 35–38. http://doi.org/10.7748/nop.2018.e975 </w:t>
      </w:r>
    </w:p>
    <w:p w14:paraId="5E3C6F27"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Maxwell, M., Hibberd, C., Aitchison, P., </w:t>
      </w:r>
      <w:proofErr w:type="spellStart"/>
      <w:r w:rsidRPr="00DB2760">
        <w:rPr>
          <w:rFonts w:ascii="Times" w:hAnsi="Times" w:cs="TimesNewRomanPSMT"/>
        </w:rPr>
        <w:t>Calveley</w:t>
      </w:r>
      <w:proofErr w:type="spellEnd"/>
      <w:r w:rsidRPr="00DB2760">
        <w:rPr>
          <w:rFonts w:ascii="Times" w:hAnsi="Times" w:cs="TimesNewRomanPSMT"/>
        </w:rPr>
        <w:t xml:space="preserve">, P., Pratt, R., </w:t>
      </w:r>
      <w:proofErr w:type="spellStart"/>
      <w:r w:rsidRPr="00DB2760">
        <w:rPr>
          <w:rFonts w:ascii="Times" w:hAnsi="Times" w:cs="TimesNewRomanPSMT"/>
        </w:rPr>
        <w:t>Dougall</w:t>
      </w:r>
      <w:proofErr w:type="spellEnd"/>
      <w:r w:rsidRPr="00DB2760">
        <w:rPr>
          <w:rFonts w:ascii="Times" w:hAnsi="Times" w:cs="TimesNewRomanPSMT"/>
        </w:rPr>
        <w:t xml:space="preserve">, N., Hoy, C., . . . Cameron, I. (2018). The Patient Centered Assessment Method for improving nurse-led biopsychosocial assessment of patients with long-term conditions: A feasibility RCT. </w:t>
      </w:r>
      <w:r w:rsidRPr="00DB2760">
        <w:rPr>
          <w:rFonts w:ascii="Times" w:hAnsi="Times"/>
          <w:i/>
          <w:iCs/>
        </w:rPr>
        <w:t>Health Services and Delivery Research, 6</w:t>
      </w:r>
      <w:r w:rsidRPr="00DB2760">
        <w:rPr>
          <w:rFonts w:ascii="Times" w:hAnsi="Times" w:cs="TimesNewRomanPSMT"/>
        </w:rPr>
        <w:t xml:space="preserve">(4). https://doi.org/10.3310/hsdr06040 </w:t>
      </w:r>
    </w:p>
    <w:p w14:paraId="4F811544" w14:textId="77777777" w:rsidR="00DB2760" w:rsidRPr="00DB2760" w:rsidRDefault="00DB2760" w:rsidP="00DB2760">
      <w:pPr>
        <w:pStyle w:val="NormalWeb"/>
        <w:spacing w:line="480" w:lineRule="auto"/>
        <w:rPr>
          <w:rFonts w:ascii="Times" w:hAnsi="Times"/>
        </w:rPr>
      </w:pPr>
      <w:r w:rsidRPr="00DB2760">
        <w:rPr>
          <w:rFonts w:ascii="Times" w:hAnsi="Times" w:cs="TimesNewRomanPSMT"/>
        </w:rPr>
        <w:lastRenderedPageBreak/>
        <w:t xml:space="preserve">National Quality Forum. (n.d.). Patient safety. Retrieved from https://qualityforum.org/Topics/Safety_pages/Patient_Safety.aspx </w:t>
      </w:r>
    </w:p>
    <w:p w14:paraId="33F1E0A4" w14:textId="77777777" w:rsidR="00DB2760" w:rsidRPr="00DB2760" w:rsidRDefault="00DB2760" w:rsidP="00DB2760">
      <w:pPr>
        <w:pStyle w:val="NormalWeb"/>
        <w:spacing w:line="480" w:lineRule="auto"/>
        <w:rPr>
          <w:rFonts w:ascii="Times" w:hAnsi="Times"/>
        </w:rPr>
      </w:pPr>
      <w:proofErr w:type="spellStart"/>
      <w:r w:rsidRPr="00DB2760">
        <w:rPr>
          <w:rFonts w:ascii="Times" w:hAnsi="Times" w:cs="TimesNewRomanPSMT"/>
        </w:rPr>
        <w:t>Noritomi</w:t>
      </w:r>
      <w:proofErr w:type="spellEnd"/>
      <w:r w:rsidRPr="00DB2760">
        <w:rPr>
          <w:rFonts w:ascii="Times" w:hAnsi="Times" w:cs="TimesNewRomanPSMT"/>
        </w:rPr>
        <w:t xml:space="preserve">, D. T., </w:t>
      </w:r>
      <w:proofErr w:type="spellStart"/>
      <w:r w:rsidRPr="00DB2760">
        <w:rPr>
          <w:rFonts w:ascii="Times" w:hAnsi="Times" w:cs="TimesNewRomanPSMT"/>
        </w:rPr>
        <w:t>Ranzani</w:t>
      </w:r>
      <w:proofErr w:type="spellEnd"/>
      <w:r w:rsidRPr="00DB2760">
        <w:rPr>
          <w:rFonts w:ascii="Times" w:hAnsi="Times" w:cs="TimesNewRomanPSMT"/>
        </w:rPr>
        <w:t xml:space="preserve">, O. T., Monteiro, M. B., Ferreira, E. M., Santos, S. R., Leibel, F., &amp; Machado, F. R. (2014). </w:t>
      </w:r>
      <w:r w:rsidRPr="00DB2760">
        <w:rPr>
          <w:rFonts w:ascii="Times" w:hAnsi="Times" w:cs="TimesNewRomanPSMT"/>
          <w:shd w:val="clear" w:color="auto" w:fill="FFFFFF"/>
        </w:rPr>
        <w:t xml:space="preserve">Implementation of a multifaceted sepsis education program in an emerging country setting: Clinical outcomes and cost-effectiveness in a long-term follow- up study. </w:t>
      </w:r>
      <w:r w:rsidRPr="00DB2760">
        <w:rPr>
          <w:rFonts w:ascii="Times" w:hAnsi="Times"/>
          <w:i/>
          <w:iCs/>
        </w:rPr>
        <w:t>Intensive Care Medicine, 40</w:t>
      </w:r>
      <w:r w:rsidRPr="00DB2760">
        <w:rPr>
          <w:rFonts w:ascii="Times" w:hAnsi="Times" w:cs="TimesNewRomanPSMT"/>
        </w:rPr>
        <w:t xml:space="preserve">(2), 182–191. </w:t>
      </w:r>
      <w:r w:rsidRPr="00DB2760">
        <w:rPr>
          <w:rFonts w:ascii="Times" w:hAnsi="Times" w:cs="TimesNewRomanPSMT"/>
          <w:shd w:val="clear" w:color="auto" w:fill="FFFFFF"/>
        </w:rPr>
        <w:t xml:space="preserve">http://doi.org/10.1007/s00134-013- 3131-5 </w:t>
      </w:r>
    </w:p>
    <w:p w14:paraId="6143C267"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Perez, D. (2015). </w:t>
      </w:r>
      <w:r w:rsidRPr="00DB2760">
        <w:rPr>
          <w:rFonts w:ascii="Times" w:hAnsi="Times"/>
          <w:i/>
          <w:iCs/>
        </w:rPr>
        <w:t xml:space="preserve">An </w:t>
      </w:r>
      <w:proofErr w:type="gramStart"/>
      <w:r w:rsidRPr="00DB2760">
        <w:rPr>
          <w:rFonts w:ascii="Times" w:hAnsi="Times"/>
          <w:i/>
          <w:iCs/>
        </w:rPr>
        <w:t>evidence based</w:t>
      </w:r>
      <w:proofErr w:type="gramEnd"/>
      <w:r w:rsidRPr="00DB2760">
        <w:rPr>
          <w:rFonts w:ascii="Times" w:hAnsi="Times"/>
          <w:i/>
          <w:iCs/>
        </w:rPr>
        <w:t xml:space="preserve"> approach to sepsis: Educational program </w:t>
      </w:r>
      <w:r w:rsidRPr="00DB2760">
        <w:rPr>
          <w:rFonts w:ascii="Times" w:hAnsi="Times" w:cs="TimesNewRomanPSMT"/>
        </w:rPr>
        <w:t xml:space="preserve">(Doctoral project). Retrieved from ProQuest. (Order No. 10014646) </w:t>
      </w:r>
    </w:p>
    <w:p w14:paraId="7F85C68D" w14:textId="77777777" w:rsidR="00DB2760" w:rsidRPr="00DB2760" w:rsidRDefault="00DB2760" w:rsidP="00DB2760">
      <w:pPr>
        <w:pStyle w:val="NormalWeb"/>
        <w:spacing w:line="480" w:lineRule="auto"/>
        <w:rPr>
          <w:rFonts w:ascii="Times" w:hAnsi="Times"/>
        </w:rPr>
      </w:pPr>
      <w:proofErr w:type="spellStart"/>
      <w:r w:rsidRPr="00DB2760">
        <w:rPr>
          <w:rFonts w:ascii="Times" w:hAnsi="Times" w:cs="TimesNewRomanPSMT"/>
        </w:rPr>
        <w:t>Rapoza</w:t>
      </w:r>
      <w:proofErr w:type="spellEnd"/>
      <w:r w:rsidRPr="00DB2760">
        <w:rPr>
          <w:rFonts w:ascii="Times" w:hAnsi="Times" w:cs="TimesNewRomanPSMT"/>
        </w:rPr>
        <w:t xml:space="preserve">, K. A., </w:t>
      </w:r>
      <w:proofErr w:type="spellStart"/>
      <w:r w:rsidRPr="00DB2760">
        <w:rPr>
          <w:rFonts w:ascii="Times" w:hAnsi="Times" w:cs="TimesNewRomanPSMT"/>
        </w:rPr>
        <w:t>Vassell</w:t>
      </w:r>
      <w:proofErr w:type="spellEnd"/>
      <w:r w:rsidRPr="00DB2760">
        <w:rPr>
          <w:rFonts w:ascii="Times" w:hAnsi="Times" w:cs="TimesNewRomanPSMT"/>
        </w:rPr>
        <w:t xml:space="preserve">, K., Wilson, D. T., Robertson, T. W., </w:t>
      </w:r>
      <w:proofErr w:type="spellStart"/>
      <w:r w:rsidRPr="00DB2760">
        <w:rPr>
          <w:rFonts w:ascii="Times" w:hAnsi="Times" w:cs="TimesNewRomanPSMT"/>
        </w:rPr>
        <w:t>Manzella</w:t>
      </w:r>
      <w:proofErr w:type="spellEnd"/>
      <w:r w:rsidRPr="00DB2760">
        <w:rPr>
          <w:rFonts w:ascii="Times" w:hAnsi="Times" w:cs="TimesNewRomanPSMT"/>
        </w:rPr>
        <w:t xml:space="preserve">, D. J., Ortiz-Garcia, A. L., &amp; Jimenez-Lazar, L. A. (2016). Attachment as a moderating factor between social support, physical health, and psychological symptoms. </w:t>
      </w:r>
      <w:r w:rsidRPr="00DB2760">
        <w:rPr>
          <w:rFonts w:ascii="Times" w:hAnsi="Times"/>
          <w:i/>
          <w:iCs/>
        </w:rPr>
        <w:t>SAGE Open</w:t>
      </w:r>
      <w:r w:rsidRPr="00DB2760">
        <w:rPr>
          <w:rFonts w:ascii="Times" w:hAnsi="Times" w:cs="TimesNewRomanPSMT"/>
        </w:rPr>
        <w:t xml:space="preserve">, 1–13. </w:t>
      </w:r>
      <w:r w:rsidRPr="00DB2760">
        <w:rPr>
          <w:rFonts w:ascii="Times" w:hAnsi="Times" w:cs="TimesNewRomanPSMT"/>
          <w:shd w:val="clear" w:color="auto" w:fill="FFFFFF"/>
        </w:rPr>
        <w:t xml:space="preserve">https://doi.org/10.1177/2158244016682818 </w:t>
      </w:r>
    </w:p>
    <w:p w14:paraId="4A1F06F5"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Singer, M., </w:t>
      </w:r>
      <w:proofErr w:type="spellStart"/>
      <w:r w:rsidRPr="00DB2760">
        <w:rPr>
          <w:rFonts w:ascii="Times" w:hAnsi="Times" w:cs="TimesNewRomanPSMT"/>
        </w:rPr>
        <w:t>Deutschman</w:t>
      </w:r>
      <w:proofErr w:type="spellEnd"/>
      <w:r w:rsidRPr="00DB2760">
        <w:rPr>
          <w:rFonts w:ascii="Times" w:hAnsi="Times" w:cs="TimesNewRomanPSMT"/>
        </w:rPr>
        <w:t xml:space="preserve">, C. S., Seymour, C. W., Shankar-Hari, M., </w:t>
      </w:r>
      <w:proofErr w:type="spellStart"/>
      <w:r w:rsidRPr="00DB2760">
        <w:rPr>
          <w:rFonts w:ascii="Times" w:hAnsi="Times" w:cs="TimesNewRomanPSMT"/>
        </w:rPr>
        <w:t>Annane</w:t>
      </w:r>
      <w:proofErr w:type="spellEnd"/>
      <w:r w:rsidRPr="00DB2760">
        <w:rPr>
          <w:rFonts w:ascii="Times" w:hAnsi="Times" w:cs="TimesNewRomanPSMT"/>
        </w:rPr>
        <w:t xml:space="preserve">, D., Bauer, M., . . . Angus, D. C. (2016). The third international consensus definitions for sepsis and septic shock (Sepsis-3). </w:t>
      </w:r>
      <w:r w:rsidRPr="00DB2760">
        <w:rPr>
          <w:rFonts w:ascii="Times" w:hAnsi="Times"/>
          <w:i/>
          <w:iCs/>
        </w:rPr>
        <w:t>Journal of the American Medical Association, 315</w:t>
      </w:r>
      <w:r w:rsidRPr="00DB2760">
        <w:rPr>
          <w:rFonts w:ascii="Times" w:hAnsi="Times" w:cs="TimesNewRomanPSMT"/>
        </w:rPr>
        <w:t>(8), 801–810. https://doi.org/</w:t>
      </w:r>
      <w:r w:rsidRPr="00DB2760">
        <w:rPr>
          <w:rFonts w:ascii="Times" w:hAnsi="Times" w:cs="TimesNewRomanPSMT"/>
          <w:shd w:val="clear" w:color="auto" w:fill="FFFFFF"/>
        </w:rPr>
        <w:t xml:space="preserve">10.1001/jama.2016.0287 </w:t>
      </w:r>
    </w:p>
    <w:p w14:paraId="235AC909" w14:textId="77777777" w:rsidR="00DB2760" w:rsidRPr="00DB2760" w:rsidRDefault="00DB2760" w:rsidP="00DB2760">
      <w:pPr>
        <w:pStyle w:val="NormalWeb"/>
        <w:spacing w:line="480" w:lineRule="auto"/>
        <w:rPr>
          <w:rFonts w:ascii="Times" w:hAnsi="Times"/>
        </w:rPr>
      </w:pPr>
      <w:r w:rsidRPr="00DB2760">
        <w:rPr>
          <w:rFonts w:ascii="Times" w:hAnsi="Times" w:cs="TimesNewRomanPSMT"/>
        </w:rPr>
        <w:t xml:space="preserve">The Joint Commission. (2019). </w:t>
      </w:r>
      <w:r w:rsidRPr="00DB2760">
        <w:rPr>
          <w:rFonts w:ascii="Times" w:hAnsi="Times"/>
          <w:i/>
          <w:iCs/>
        </w:rPr>
        <w:t>National Patient Safety Goals Effective January 2019</w:t>
      </w:r>
      <w:r w:rsidRPr="00DB2760">
        <w:rPr>
          <w:rFonts w:ascii="Times" w:hAnsi="Times" w:cs="TimesNewRomanPSMT"/>
        </w:rPr>
        <w:t xml:space="preserve">. Retrieved from https://jointcommission.org/assets/1/6/NPSG_Chapter_HAP_Jan2019.pdf </w:t>
      </w:r>
    </w:p>
    <w:p w14:paraId="189E5179" w14:textId="1ED27E00" w:rsidR="00905D01" w:rsidRPr="00DB2760" w:rsidRDefault="00DB2760" w:rsidP="00DB2760">
      <w:pPr>
        <w:pStyle w:val="NormalWeb"/>
        <w:spacing w:line="480" w:lineRule="auto"/>
        <w:rPr>
          <w:rFonts w:ascii="Times" w:hAnsi="Times"/>
        </w:rPr>
      </w:pPr>
      <w:r w:rsidRPr="00DB2760">
        <w:rPr>
          <w:rFonts w:ascii="Times" w:hAnsi="Times" w:cs="TimesNewRomanPSMT"/>
        </w:rPr>
        <w:t xml:space="preserve">U.S. Centers for Medicare and Medicaid Services. (n.d.). Medicare costs at a glance. Retrieved from https://medicare.gov/your-medicare-costs/medicare-costs-at-a-glance </w:t>
      </w:r>
    </w:p>
    <w:sectPr w:rsidR="00905D01" w:rsidRPr="00DB2760"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TimesNewRomanPSMT">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AA24CB"/>
    <w:multiLevelType w:val="multilevel"/>
    <w:tmpl w:val="74206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1C10B9"/>
    <w:multiLevelType w:val="multilevel"/>
    <w:tmpl w:val="5978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A6D4666"/>
    <w:multiLevelType w:val="multilevel"/>
    <w:tmpl w:val="D278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6F74282"/>
    <w:multiLevelType w:val="multilevel"/>
    <w:tmpl w:val="782A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760"/>
    <w:rsid w:val="00780F7B"/>
    <w:rsid w:val="00905D01"/>
    <w:rsid w:val="00DB2760"/>
    <w:rsid w:val="00EB4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F2FA0C"/>
  <w15:chartTrackingRefBased/>
  <w15:docId w15:val="{4B07E11F-1063-D04B-BB85-DFE26FCA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B276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9215270">
      <w:bodyDiv w:val="1"/>
      <w:marLeft w:val="0"/>
      <w:marRight w:val="0"/>
      <w:marTop w:val="0"/>
      <w:marBottom w:val="0"/>
      <w:divBdr>
        <w:top w:val="none" w:sz="0" w:space="0" w:color="auto"/>
        <w:left w:val="none" w:sz="0" w:space="0" w:color="auto"/>
        <w:bottom w:val="none" w:sz="0" w:space="0" w:color="auto"/>
        <w:right w:val="none" w:sz="0" w:space="0" w:color="auto"/>
      </w:divBdr>
      <w:divsChild>
        <w:div w:id="1289431983">
          <w:marLeft w:val="0"/>
          <w:marRight w:val="0"/>
          <w:marTop w:val="0"/>
          <w:marBottom w:val="0"/>
          <w:divBdr>
            <w:top w:val="none" w:sz="0" w:space="0" w:color="auto"/>
            <w:left w:val="none" w:sz="0" w:space="0" w:color="auto"/>
            <w:bottom w:val="none" w:sz="0" w:space="0" w:color="auto"/>
            <w:right w:val="none" w:sz="0" w:space="0" w:color="auto"/>
          </w:divBdr>
          <w:divsChild>
            <w:div w:id="1513688729">
              <w:marLeft w:val="0"/>
              <w:marRight w:val="0"/>
              <w:marTop w:val="0"/>
              <w:marBottom w:val="0"/>
              <w:divBdr>
                <w:top w:val="none" w:sz="0" w:space="0" w:color="auto"/>
                <w:left w:val="none" w:sz="0" w:space="0" w:color="auto"/>
                <w:bottom w:val="none" w:sz="0" w:space="0" w:color="auto"/>
                <w:right w:val="none" w:sz="0" w:space="0" w:color="auto"/>
              </w:divBdr>
              <w:divsChild>
                <w:div w:id="1583643535">
                  <w:marLeft w:val="0"/>
                  <w:marRight w:val="0"/>
                  <w:marTop w:val="0"/>
                  <w:marBottom w:val="0"/>
                  <w:divBdr>
                    <w:top w:val="none" w:sz="0" w:space="0" w:color="auto"/>
                    <w:left w:val="none" w:sz="0" w:space="0" w:color="auto"/>
                    <w:bottom w:val="none" w:sz="0" w:space="0" w:color="auto"/>
                    <w:right w:val="none" w:sz="0" w:space="0" w:color="auto"/>
                  </w:divBdr>
                </w:div>
              </w:divsChild>
            </w:div>
            <w:div w:id="125128121">
              <w:marLeft w:val="0"/>
              <w:marRight w:val="0"/>
              <w:marTop w:val="0"/>
              <w:marBottom w:val="0"/>
              <w:divBdr>
                <w:top w:val="none" w:sz="0" w:space="0" w:color="auto"/>
                <w:left w:val="none" w:sz="0" w:space="0" w:color="auto"/>
                <w:bottom w:val="none" w:sz="0" w:space="0" w:color="auto"/>
                <w:right w:val="none" w:sz="0" w:space="0" w:color="auto"/>
              </w:divBdr>
              <w:divsChild>
                <w:div w:id="5625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926248">
          <w:marLeft w:val="0"/>
          <w:marRight w:val="0"/>
          <w:marTop w:val="0"/>
          <w:marBottom w:val="0"/>
          <w:divBdr>
            <w:top w:val="none" w:sz="0" w:space="0" w:color="auto"/>
            <w:left w:val="none" w:sz="0" w:space="0" w:color="auto"/>
            <w:bottom w:val="none" w:sz="0" w:space="0" w:color="auto"/>
            <w:right w:val="none" w:sz="0" w:space="0" w:color="auto"/>
          </w:divBdr>
          <w:divsChild>
            <w:div w:id="7605314">
              <w:marLeft w:val="0"/>
              <w:marRight w:val="0"/>
              <w:marTop w:val="0"/>
              <w:marBottom w:val="0"/>
              <w:divBdr>
                <w:top w:val="none" w:sz="0" w:space="0" w:color="auto"/>
                <w:left w:val="none" w:sz="0" w:space="0" w:color="auto"/>
                <w:bottom w:val="none" w:sz="0" w:space="0" w:color="auto"/>
                <w:right w:val="none" w:sz="0" w:space="0" w:color="auto"/>
              </w:divBdr>
              <w:divsChild>
                <w:div w:id="1577746151">
                  <w:marLeft w:val="0"/>
                  <w:marRight w:val="0"/>
                  <w:marTop w:val="0"/>
                  <w:marBottom w:val="0"/>
                  <w:divBdr>
                    <w:top w:val="none" w:sz="0" w:space="0" w:color="auto"/>
                    <w:left w:val="none" w:sz="0" w:space="0" w:color="auto"/>
                    <w:bottom w:val="none" w:sz="0" w:space="0" w:color="auto"/>
                    <w:right w:val="none" w:sz="0" w:space="0" w:color="auto"/>
                  </w:divBdr>
                </w:div>
              </w:divsChild>
            </w:div>
            <w:div w:id="315113418">
              <w:marLeft w:val="0"/>
              <w:marRight w:val="0"/>
              <w:marTop w:val="0"/>
              <w:marBottom w:val="0"/>
              <w:divBdr>
                <w:top w:val="none" w:sz="0" w:space="0" w:color="auto"/>
                <w:left w:val="none" w:sz="0" w:space="0" w:color="auto"/>
                <w:bottom w:val="none" w:sz="0" w:space="0" w:color="auto"/>
                <w:right w:val="none" w:sz="0" w:space="0" w:color="auto"/>
              </w:divBdr>
              <w:divsChild>
                <w:div w:id="1710570761">
                  <w:marLeft w:val="0"/>
                  <w:marRight w:val="0"/>
                  <w:marTop w:val="0"/>
                  <w:marBottom w:val="0"/>
                  <w:divBdr>
                    <w:top w:val="none" w:sz="0" w:space="0" w:color="auto"/>
                    <w:left w:val="none" w:sz="0" w:space="0" w:color="auto"/>
                    <w:bottom w:val="none" w:sz="0" w:space="0" w:color="auto"/>
                    <w:right w:val="none" w:sz="0" w:space="0" w:color="auto"/>
                  </w:divBdr>
                </w:div>
              </w:divsChild>
            </w:div>
            <w:div w:id="1327897212">
              <w:marLeft w:val="0"/>
              <w:marRight w:val="0"/>
              <w:marTop w:val="0"/>
              <w:marBottom w:val="0"/>
              <w:divBdr>
                <w:top w:val="none" w:sz="0" w:space="0" w:color="auto"/>
                <w:left w:val="none" w:sz="0" w:space="0" w:color="auto"/>
                <w:bottom w:val="none" w:sz="0" w:space="0" w:color="auto"/>
                <w:right w:val="none" w:sz="0" w:space="0" w:color="auto"/>
              </w:divBdr>
              <w:divsChild>
                <w:div w:id="125347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53772">
          <w:marLeft w:val="0"/>
          <w:marRight w:val="0"/>
          <w:marTop w:val="0"/>
          <w:marBottom w:val="0"/>
          <w:divBdr>
            <w:top w:val="none" w:sz="0" w:space="0" w:color="auto"/>
            <w:left w:val="none" w:sz="0" w:space="0" w:color="auto"/>
            <w:bottom w:val="none" w:sz="0" w:space="0" w:color="auto"/>
            <w:right w:val="none" w:sz="0" w:space="0" w:color="auto"/>
          </w:divBdr>
          <w:divsChild>
            <w:div w:id="1148399538">
              <w:marLeft w:val="0"/>
              <w:marRight w:val="0"/>
              <w:marTop w:val="0"/>
              <w:marBottom w:val="0"/>
              <w:divBdr>
                <w:top w:val="none" w:sz="0" w:space="0" w:color="auto"/>
                <w:left w:val="none" w:sz="0" w:space="0" w:color="auto"/>
                <w:bottom w:val="none" w:sz="0" w:space="0" w:color="auto"/>
                <w:right w:val="none" w:sz="0" w:space="0" w:color="auto"/>
              </w:divBdr>
              <w:divsChild>
                <w:div w:id="616569442">
                  <w:marLeft w:val="0"/>
                  <w:marRight w:val="0"/>
                  <w:marTop w:val="0"/>
                  <w:marBottom w:val="0"/>
                  <w:divBdr>
                    <w:top w:val="none" w:sz="0" w:space="0" w:color="auto"/>
                    <w:left w:val="none" w:sz="0" w:space="0" w:color="auto"/>
                    <w:bottom w:val="none" w:sz="0" w:space="0" w:color="auto"/>
                    <w:right w:val="none" w:sz="0" w:space="0" w:color="auto"/>
                  </w:divBdr>
                </w:div>
              </w:divsChild>
            </w:div>
            <w:div w:id="574240395">
              <w:marLeft w:val="0"/>
              <w:marRight w:val="0"/>
              <w:marTop w:val="0"/>
              <w:marBottom w:val="0"/>
              <w:divBdr>
                <w:top w:val="none" w:sz="0" w:space="0" w:color="auto"/>
                <w:left w:val="none" w:sz="0" w:space="0" w:color="auto"/>
                <w:bottom w:val="none" w:sz="0" w:space="0" w:color="auto"/>
                <w:right w:val="none" w:sz="0" w:space="0" w:color="auto"/>
              </w:divBdr>
              <w:divsChild>
                <w:div w:id="92819629">
                  <w:marLeft w:val="0"/>
                  <w:marRight w:val="0"/>
                  <w:marTop w:val="0"/>
                  <w:marBottom w:val="0"/>
                  <w:divBdr>
                    <w:top w:val="none" w:sz="0" w:space="0" w:color="auto"/>
                    <w:left w:val="none" w:sz="0" w:space="0" w:color="auto"/>
                    <w:bottom w:val="none" w:sz="0" w:space="0" w:color="auto"/>
                    <w:right w:val="none" w:sz="0" w:space="0" w:color="auto"/>
                  </w:divBdr>
                </w:div>
              </w:divsChild>
            </w:div>
            <w:div w:id="1331180535">
              <w:marLeft w:val="0"/>
              <w:marRight w:val="0"/>
              <w:marTop w:val="0"/>
              <w:marBottom w:val="0"/>
              <w:divBdr>
                <w:top w:val="none" w:sz="0" w:space="0" w:color="auto"/>
                <w:left w:val="none" w:sz="0" w:space="0" w:color="auto"/>
                <w:bottom w:val="none" w:sz="0" w:space="0" w:color="auto"/>
                <w:right w:val="none" w:sz="0" w:space="0" w:color="auto"/>
              </w:divBdr>
              <w:divsChild>
                <w:div w:id="203195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7905">
          <w:marLeft w:val="0"/>
          <w:marRight w:val="0"/>
          <w:marTop w:val="0"/>
          <w:marBottom w:val="0"/>
          <w:divBdr>
            <w:top w:val="none" w:sz="0" w:space="0" w:color="auto"/>
            <w:left w:val="none" w:sz="0" w:space="0" w:color="auto"/>
            <w:bottom w:val="none" w:sz="0" w:space="0" w:color="auto"/>
            <w:right w:val="none" w:sz="0" w:space="0" w:color="auto"/>
          </w:divBdr>
          <w:divsChild>
            <w:div w:id="2103257734">
              <w:marLeft w:val="0"/>
              <w:marRight w:val="0"/>
              <w:marTop w:val="0"/>
              <w:marBottom w:val="0"/>
              <w:divBdr>
                <w:top w:val="none" w:sz="0" w:space="0" w:color="auto"/>
                <w:left w:val="none" w:sz="0" w:space="0" w:color="auto"/>
                <w:bottom w:val="none" w:sz="0" w:space="0" w:color="auto"/>
                <w:right w:val="none" w:sz="0" w:space="0" w:color="auto"/>
              </w:divBdr>
              <w:divsChild>
                <w:div w:id="714088420">
                  <w:marLeft w:val="0"/>
                  <w:marRight w:val="0"/>
                  <w:marTop w:val="0"/>
                  <w:marBottom w:val="0"/>
                  <w:divBdr>
                    <w:top w:val="none" w:sz="0" w:space="0" w:color="auto"/>
                    <w:left w:val="none" w:sz="0" w:space="0" w:color="auto"/>
                    <w:bottom w:val="none" w:sz="0" w:space="0" w:color="auto"/>
                    <w:right w:val="none" w:sz="0" w:space="0" w:color="auto"/>
                  </w:divBdr>
                </w:div>
              </w:divsChild>
            </w:div>
            <w:div w:id="1302731494">
              <w:marLeft w:val="0"/>
              <w:marRight w:val="0"/>
              <w:marTop w:val="0"/>
              <w:marBottom w:val="0"/>
              <w:divBdr>
                <w:top w:val="none" w:sz="0" w:space="0" w:color="auto"/>
                <w:left w:val="none" w:sz="0" w:space="0" w:color="auto"/>
                <w:bottom w:val="none" w:sz="0" w:space="0" w:color="auto"/>
                <w:right w:val="none" w:sz="0" w:space="0" w:color="auto"/>
              </w:divBdr>
              <w:divsChild>
                <w:div w:id="140540795">
                  <w:marLeft w:val="0"/>
                  <w:marRight w:val="0"/>
                  <w:marTop w:val="0"/>
                  <w:marBottom w:val="0"/>
                  <w:divBdr>
                    <w:top w:val="none" w:sz="0" w:space="0" w:color="auto"/>
                    <w:left w:val="none" w:sz="0" w:space="0" w:color="auto"/>
                    <w:bottom w:val="none" w:sz="0" w:space="0" w:color="auto"/>
                    <w:right w:val="none" w:sz="0" w:space="0" w:color="auto"/>
                  </w:divBdr>
                </w:div>
              </w:divsChild>
            </w:div>
            <w:div w:id="226301922">
              <w:marLeft w:val="0"/>
              <w:marRight w:val="0"/>
              <w:marTop w:val="0"/>
              <w:marBottom w:val="0"/>
              <w:divBdr>
                <w:top w:val="none" w:sz="0" w:space="0" w:color="auto"/>
                <w:left w:val="none" w:sz="0" w:space="0" w:color="auto"/>
                <w:bottom w:val="none" w:sz="0" w:space="0" w:color="auto"/>
                <w:right w:val="none" w:sz="0" w:space="0" w:color="auto"/>
              </w:divBdr>
              <w:divsChild>
                <w:div w:id="183868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68175">
          <w:marLeft w:val="0"/>
          <w:marRight w:val="0"/>
          <w:marTop w:val="0"/>
          <w:marBottom w:val="0"/>
          <w:divBdr>
            <w:top w:val="none" w:sz="0" w:space="0" w:color="auto"/>
            <w:left w:val="none" w:sz="0" w:space="0" w:color="auto"/>
            <w:bottom w:val="none" w:sz="0" w:space="0" w:color="auto"/>
            <w:right w:val="none" w:sz="0" w:space="0" w:color="auto"/>
          </w:divBdr>
          <w:divsChild>
            <w:div w:id="601185892">
              <w:marLeft w:val="0"/>
              <w:marRight w:val="0"/>
              <w:marTop w:val="0"/>
              <w:marBottom w:val="0"/>
              <w:divBdr>
                <w:top w:val="none" w:sz="0" w:space="0" w:color="auto"/>
                <w:left w:val="none" w:sz="0" w:space="0" w:color="auto"/>
                <w:bottom w:val="none" w:sz="0" w:space="0" w:color="auto"/>
                <w:right w:val="none" w:sz="0" w:space="0" w:color="auto"/>
              </w:divBdr>
              <w:divsChild>
                <w:div w:id="1503084973">
                  <w:marLeft w:val="0"/>
                  <w:marRight w:val="0"/>
                  <w:marTop w:val="0"/>
                  <w:marBottom w:val="0"/>
                  <w:divBdr>
                    <w:top w:val="none" w:sz="0" w:space="0" w:color="auto"/>
                    <w:left w:val="none" w:sz="0" w:space="0" w:color="auto"/>
                    <w:bottom w:val="none" w:sz="0" w:space="0" w:color="auto"/>
                    <w:right w:val="none" w:sz="0" w:space="0" w:color="auto"/>
                  </w:divBdr>
                </w:div>
              </w:divsChild>
            </w:div>
            <w:div w:id="1781103701">
              <w:marLeft w:val="0"/>
              <w:marRight w:val="0"/>
              <w:marTop w:val="0"/>
              <w:marBottom w:val="0"/>
              <w:divBdr>
                <w:top w:val="none" w:sz="0" w:space="0" w:color="auto"/>
                <w:left w:val="none" w:sz="0" w:space="0" w:color="auto"/>
                <w:bottom w:val="none" w:sz="0" w:space="0" w:color="auto"/>
                <w:right w:val="none" w:sz="0" w:space="0" w:color="auto"/>
              </w:divBdr>
              <w:divsChild>
                <w:div w:id="1840535064">
                  <w:marLeft w:val="0"/>
                  <w:marRight w:val="0"/>
                  <w:marTop w:val="0"/>
                  <w:marBottom w:val="0"/>
                  <w:divBdr>
                    <w:top w:val="none" w:sz="0" w:space="0" w:color="auto"/>
                    <w:left w:val="none" w:sz="0" w:space="0" w:color="auto"/>
                    <w:bottom w:val="none" w:sz="0" w:space="0" w:color="auto"/>
                    <w:right w:val="none" w:sz="0" w:space="0" w:color="auto"/>
                  </w:divBdr>
                </w:div>
              </w:divsChild>
            </w:div>
            <w:div w:id="1617980484">
              <w:marLeft w:val="0"/>
              <w:marRight w:val="0"/>
              <w:marTop w:val="0"/>
              <w:marBottom w:val="0"/>
              <w:divBdr>
                <w:top w:val="none" w:sz="0" w:space="0" w:color="auto"/>
                <w:left w:val="none" w:sz="0" w:space="0" w:color="auto"/>
                <w:bottom w:val="none" w:sz="0" w:space="0" w:color="auto"/>
                <w:right w:val="none" w:sz="0" w:space="0" w:color="auto"/>
              </w:divBdr>
              <w:divsChild>
                <w:div w:id="214298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690469">
          <w:marLeft w:val="0"/>
          <w:marRight w:val="0"/>
          <w:marTop w:val="0"/>
          <w:marBottom w:val="0"/>
          <w:divBdr>
            <w:top w:val="none" w:sz="0" w:space="0" w:color="auto"/>
            <w:left w:val="none" w:sz="0" w:space="0" w:color="auto"/>
            <w:bottom w:val="none" w:sz="0" w:space="0" w:color="auto"/>
            <w:right w:val="none" w:sz="0" w:space="0" w:color="auto"/>
          </w:divBdr>
          <w:divsChild>
            <w:div w:id="312489614">
              <w:marLeft w:val="0"/>
              <w:marRight w:val="0"/>
              <w:marTop w:val="0"/>
              <w:marBottom w:val="0"/>
              <w:divBdr>
                <w:top w:val="none" w:sz="0" w:space="0" w:color="auto"/>
                <w:left w:val="none" w:sz="0" w:space="0" w:color="auto"/>
                <w:bottom w:val="none" w:sz="0" w:space="0" w:color="auto"/>
                <w:right w:val="none" w:sz="0" w:space="0" w:color="auto"/>
              </w:divBdr>
              <w:divsChild>
                <w:div w:id="513031002">
                  <w:marLeft w:val="0"/>
                  <w:marRight w:val="0"/>
                  <w:marTop w:val="0"/>
                  <w:marBottom w:val="0"/>
                  <w:divBdr>
                    <w:top w:val="none" w:sz="0" w:space="0" w:color="auto"/>
                    <w:left w:val="none" w:sz="0" w:space="0" w:color="auto"/>
                    <w:bottom w:val="none" w:sz="0" w:space="0" w:color="auto"/>
                    <w:right w:val="none" w:sz="0" w:space="0" w:color="auto"/>
                  </w:divBdr>
                </w:div>
              </w:divsChild>
            </w:div>
            <w:div w:id="2017539051">
              <w:marLeft w:val="0"/>
              <w:marRight w:val="0"/>
              <w:marTop w:val="0"/>
              <w:marBottom w:val="0"/>
              <w:divBdr>
                <w:top w:val="none" w:sz="0" w:space="0" w:color="auto"/>
                <w:left w:val="none" w:sz="0" w:space="0" w:color="auto"/>
                <w:bottom w:val="none" w:sz="0" w:space="0" w:color="auto"/>
                <w:right w:val="none" w:sz="0" w:space="0" w:color="auto"/>
              </w:divBdr>
              <w:divsChild>
                <w:div w:id="1954970879">
                  <w:marLeft w:val="0"/>
                  <w:marRight w:val="0"/>
                  <w:marTop w:val="0"/>
                  <w:marBottom w:val="0"/>
                  <w:divBdr>
                    <w:top w:val="none" w:sz="0" w:space="0" w:color="auto"/>
                    <w:left w:val="none" w:sz="0" w:space="0" w:color="auto"/>
                    <w:bottom w:val="none" w:sz="0" w:space="0" w:color="auto"/>
                    <w:right w:val="none" w:sz="0" w:space="0" w:color="auto"/>
                  </w:divBdr>
                </w:div>
              </w:divsChild>
            </w:div>
            <w:div w:id="744034652">
              <w:marLeft w:val="0"/>
              <w:marRight w:val="0"/>
              <w:marTop w:val="0"/>
              <w:marBottom w:val="0"/>
              <w:divBdr>
                <w:top w:val="none" w:sz="0" w:space="0" w:color="auto"/>
                <w:left w:val="none" w:sz="0" w:space="0" w:color="auto"/>
                <w:bottom w:val="none" w:sz="0" w:space="0" w:color="auto"/>
                <w:right w:val="none" w:sz="0" w:space="0" w:color="auto"/>
              </w:divBdr>
              <w:divsChild>
                <w:div w:id="172105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26541">
          <w:marLeft w:val="0"/>
          <w:marRight w:val="0"/>
          <w:marTop w:val="0"/>
          <w:marBottom w:val="0"/>
          <w:divBdr>
            <w:top w:val="none" w:sz="0" w:space="0" w:color="auto"/>
            <w:left w:val="none" w:sz="0" w:space="0" w:color="auto"/>
            <w:bottom w:val="none" w:sz="0" w:space="0" w:color="auto"/>
            <w:right w:val="none" w:sz="0" w:space="0" w:color="auto"/>
          </w:divBdr>
          <w:divsChild>
            <w:div w:id="1278873470">
              <w:marLeft w:val="0"/>
              <w:marRight w:val="0"/>
              <w:marTop w:val="0"/>
              <w:marBottom w:val="0"/>
              <w:divBdr>
                <w:top w:val="none" w:sz="0" w:space="0" w:color="auto"/>
                <w:left w:val="none" w:sz="0" w:space="0" w:color="auto"/>
                <w:bottom w:val="none" w:sz="0" w:space="0" w:color="auto"/>
                <w:right w:val="none" w:sz="0" w:space="0" w:color="auto"/>
              </w:divBdr>
              <w:divsChild>
                <w:div w:id="1614825015">
                  <w:marLeft w:val="0"/>
                  <w:marRight w:val="0"/>
                  <w:marTop w:val="0"/>
                  <w:marBottom w:val="0"/>
                  <w:divBdr>
                    <w:top w:val="none" w:sz="0" w:space="0" w:color="auto"/>
                    <w:left w:val="none" w:sz="0" w:space="0" w:color="auto"/>
                    <w:bottom w:val="none" w:sz="0" w:space="0" w:color="auto"/>
                    <w:right w:val="none" w:sz="0" w:space="0" w:color="auto"/>
                  </w:divBdr>
                </w:div>
              </w:divsChild>
            </w:div>
            <w:div w:id="700858660">
              <w:marLeft w:val="0"/>
              <w:marRight w:val="0"/>
              <w:marTop w:val="0"/>
              <w:marBottom w:val="0"/>
              <w:divBdr>
                <w:top w:val="none" w:sz="0" w:space="0" w:color="auto"/>
                <w:left w:val="none" w:sz="0" w:space="0" w:color="auto"/>
                <w:bottom w:val="none" w:sz="0" w:space="0" w:color="auto"/>
                <w:right w:val="none" w:sz="0" w:space="0" w:color="auto"/>
              </w:divBdr>
              <w:divsChild>
                <w:div w:id="1565752083">
                  <w:marLeft w:val="0"/>
                  <w:marRight w:val="0"/>
                  <w:marTop w:val="0"/>
                  <w:marBottom w:val="0"/>
                  <w:divBdr>
                    <w:top w:val="none" w:sz="0" w:space="0" w:color="auto"/>
                    <w:left w:val="none" w:sz="0" w:space="0" w:color="auto"/>
                    <w:bottom w:val="none" w:sz="0" w:space="0" w:color="auto"/>
                    <w:right w:val="none" w:sz="0" w:space="0" w:color="auto"/>
                  </w:divBdr>
                </w:div>
              </w:divsChild>
            </w:div>
            <w:div w:id="1152717304">
              <w:marLeft w:val="0"/>
              <w:marRight w:val="0"/>
              <w:marTop w:val="0"/>
              <w:marBottom w:val="0"/>
              <w:divBdr>
                <w:top w:val="none" w:sz="0" w:space="0" w:color="auto"/>
                <w:left w:val="none" w:sz="0" w:space="0" w:color="auto"/>
                <w:bottom w:val="none" w:sz="0" w:space="0" w:color="auto"/>
                <w:right w:val="none" w:sz="0" w:space="0" w:color="auto"/>
              </w:divBdr>
              <w:divsChild>
                <w:div w:id="37500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008349">
          <w:marLeft w:val="0"/>
          <w:marRight w:val="0"/>
          <w:marTop w:val="0"/>
          <w:marBottom w:val="0"/>
          <w:divBdr>
            <w:top w:val="none" w:sz="0" w:space="0" w:color="auto"/>
            <w:left w:val="none" w:sz="0" w:space="0" w:color="auto"/>
            <w:bottom w:val="none" w:sz="0" w:space="0" w:color="auto"/>
            <w:right w:val="none" w:sz="0" w:space="0" w:color="auto"/>
          </w:divBdr>
          <w:divsChild>
            <w:div w:id="1261836433">
              <w:marLeft w:val="0"/>
              <w:marRight w:val="0"/>
              <w:marTop w:val="0"/>
              <w:marBottom w:val="0"/>
              <w:divBdr>
                <w:top w:val="none" w:sz="0" w:space="0" w:color="auto"/>
                <w:left w:val="none" w:sz="0" w:space="0" w:color="auto"/>
                <w:bottom w:val="none" w:sz="0" w:space="0" w:color="auto"/>
                <w:right w:val="none" w:sz="0" w:space="0" w:color="auto"/>
              </w:divBdr>
              <w:divsChild>
                <w:div w:id="1155301046">
                  <w:marLeft w:val="0"/>
                  <w:marRight w:val="0"/>
                  <w:marTop w:val="0"/>
                  <w:marBottom w:val="0"/>
                  <w:divBdr>
                    <w:top w:val="none" w:sz="0" w:space="0" w:color="auto"/>
                    <w:left w:val="none" w:sz="0" w:space="0" w:color="auto"/>
                    <w:bottom w:val="none" w:sz="0" w:space="0" w:color="auto"/>
                    <w:right w:val="none" w:sz="0" w:space="0" w:color="auto"/>
                  </w:divBdr>
                </w:div>
              </w:divsChild>
            </w:div>
            <w:div w:id="2140491115">
              <w:marLeft w:val="0"/>
              <w:marRight w:val="0"/>
              <w:marTop w:val="0"/>
              <w:marBottom w:val="0"/>
              <w:divBdr>
                <w:top w:val="none" w:sz="0" w:space="0" w:color="auto"/>
                <w:left w:val="none" w:sz="0" w:space="0" w:color="auto"/>
                <w:bottom w:val="none" w:sz="0" w:space="0" w:color="auto"/>
                <w:right w:val="none" w:sz="0" w:space="0" w:color="auto"/>
              </w:divBdr>
              <w:divsChild>
                <w:div w:id="216816636">
                  <w:marLeft w:val="0"/>
                  <w:marRight w:val="0"/>
                  <w:marTop w:val="0"/>
                  <w:marBottom w:val="0"/>
                  <w:divBdr>
                    <w:top w:val="none" w:sz="0" w:space="0" w:color="auto"/>
                    <w:left w:val="none" w:sz="0" w:space="0" w:color="auto"/>
                    <w:bottom w:val="none" w:sz="0" w:space="0" w:color="auto"/>
                    <w:right w:val="none" w:sz="0" w:space="0" w:color="auto"/>
                  </w:divBdr>
                </w:div>
              </w:divsChild>
            </w:div>
            <w:div w:id="2007634211">
              <w:marLeft w:val="0"/>
              <w:marRight w:val="0"/>
              <w:marTop w:val="0"/>
              <w:marBottom w:val="0"/>
              <w:divBdr>
                <w:top w:val="none" w:sz="0" w:space="0" w:color="auto"/>
                <w:left w:val="none" w:sz="0" w:space="0" w:color="auto"/>
                <w:bottom w:val="none" w:sz="0" w:space="0" w:color="auto"/>
                <w:right w:val="none" w:sz="0" w:space="0" w:color="auto"/>
              </w:divBdr>
              <w:divsChild>
                <w:div w:id="38241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18442">
          <w:marLeft w:val="0"/>
          <w:marRight w:val="0"/>
          <w:marTop w:val="0"/>
          <w:marBottom w:val="0"/>
          <w:divBdr>
            <w:top w:val="none" w:sz="0" w:space="0" w:color="auto"/>
            <w:left w:val="none" w:sz="0" w:space="0" w:color="auto"/>
            <w:bottom w:val="none" w:sz="0" w:space="0" w:color="auto"/>
            <w:right w:val="none" w:sz="0" w:space="0" w:color="auto"/>
          </w:divBdr>
          <w:divsChild>
            <w:div w:id="1532566814">
              <w:marLeft w:val="0"/>
              <w:marRight w:val="0"/>
              <w:marTop w:val="0"/>
              <w:marBottom w:val="0"/>
              <w:divBdr>
                <w:top w:val="none" w:sz="0" w:space="0" w:color="auto"/>
                <w:left w:val="none" w:sz="0" w:space="0" w:color="auto"/>
                <w:bottom w:val="none" w:sz="0" w:space="0" w:color="auto"/>
                <w:right w:val="none" w:sz="0" w:space="0" w:color="auto"/>
              </w:divBdr>
              <w:divsChild>
                <w:div w:id="624577126">
                  <w:marLeft w:val="0"/>
                  <w:marRight w:val="0"/>
                  <w:marTop w:val="0"/>
                  <w:marBottom w:val="0"/>
                  <w:divBdr>
                    <w:top w:val="none" w:sz="0" w:space="0" w:color="auto"/>
                    <w:left w:val="none" w:sz="0" w:space="0" w:color="auto"/>
                    <w:bottom w:val="none" w:sz="0" w:space="0" w:color="auto"/>
                    <w:right w:val="none" w:sz="0" w:space="0" w:color="auto"/>
                  </w:divBdr>
                </w:div>
              </w:divsChild>
            </w:div>
            <w:div w:id="1503933346">
              <w:marLeft w:val="0"/>
              <w:marRight w:val="0"/>
              <w:marTop w:val="0"/>
              <w:marBottom w:val="0"/>
              <w:divBdr>
                <w:top w:val="none" w:sz="0" w:space="0" w:color="auto"/>
                <w:left w:val="none" w:sz="0" w:space="0" w:color="auto"/>
                <w:bottom w:val="none" w:sz="0" w:space="0" w:color="auto"/>
                <w:right w:val="none" w:sz="0" w:space="0" w:color="auto"/>
              </w:divBdr>
              <w:divsChild>
                <w:div w:id="414211895">
                  <w:marLeft w:val="0"/>
                  <w:marRight w:val="0"/>
                  <w:marTop w:val="0"/>
                  <w:marBottom w:val="0"/>
                  <w:divBdr>
                    <w:top w:val="none" w:sz="0" w:space="0" w:color="auto"/>
                    <w:left w:val="none" w:sz="0" w:space="0" w:color="auto"/>
                    <w:bottom w:val="none" w:sz="0" w:space="0" w:color="auto"/>
                    <w:right w:val="none" w:sz="0" w:space="0" w:color="auto"/>
                  </w:divBdr>
                </w:div>
              </w:divsChild>
            </w:div>
            <w:div w:id="77989782">
              <w:marLeft w:val="0"/>
              <w:marRight w:val="0"/>
              <w:marTop w:val="0"/>
              <w:marBottom w:val="0"/>
              <w:divBdr>
                <w:top w:val="none" w:sz="0" w:space="0" w:color="auto"/>
                <w:left w:val="none" w:sz="0" w:space="0" w:color="auto"/>
                <w:bottom w:val="none" w:sz="0" w:space="0" w:color="auto"/>
                <w:right w:val="none" w:sz="0" w:space="0" w:color="auto"/>
              </w:divBdr>
              <w:divsChild>
                <w:div w:id="152648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0795">
          <w:marLeft w:val="0"/>
          <w:marRight w:val="0"/>
          <w:marTop w:val="0"/>
          <w:marBottom w:val="0"/>
          <w:divBdr>
            <w:top w:val="none" w:sz="0" w:space="0" w:color="auto"/>
            <w:left w:val="none" w:sz="0" w:space="0" w:color="auto"/>
            <w:bottom w:val="none" w:sz="0" w:space="0" w:color="auto"/>
            <w:right w:val="none" w:sz="0" w:space="0" w:color="auto"/>
          </w:divBdr>
          <w:divsChild>
            <w:div w:id="1490244630">
              <w:marLeft w:val="0"/>
              <w:marRight w:val="0"/>
              <w:marTop w:val="0"/>
              <w:marBottom w:val="0"/>
              <w:divBdr>
                <w:top w:val="none" w:sz="0" w:space="0" w:color="auto"/>
                <w:left w:val="none" w:sz="0" w:space="0" w:color="auto"/>
                <w:bottom w:val="none" w:sz="0" w:space="0" w:color="auto"/>
                <w:right w:val="none" w:sz="0" w:space="0" w:color="auto"/>
              </w:divBdr>
              <w:divsChild>
                <w:div w:id="559441996">
                  <w:marLeft w:val="0"/>
                  <w:marRight w:val="0"/>
                  <w:marTop w:val="0"/>
                  <w:marBottom w:val="0"/>
                  <w:divBdr>
                    <w:top w:val="none" w:sz="0" w:space="0" w:color="auto"/>
                    <w:left w:val="none" w:sz="0" w:space="0" w:color="auto"/>
                    <w:bottom w:val="none" w:sz="0" w:space="0" w:color="auto"/>
                    <w:right w:val="none" w:sz="0" w:space="0" w:color="auto"/>
                  </w:divBdr>
                </w:div>
              </w:divsChild>
            </w:div>
            <w:div w:id="476723643">
              <w:marLeft w:val="0"/>
              <w:marRight w:val="0"/>
              <w:marTop w:val="0"/>
              <w:marBottom w:val="0"/>
              <w:divBdr>
                <w:top w:val="none" w:sz="0" w:space="0" w:color="auto"/>
                <w:left w:val="none" w:sz="0" w:space="0" w:color="auto"/>
                <w:bottom w:val="none" w:sz="0" w:space="0" w:color="auto"/>
                <w:right w:val="none" w:sz="0" w:space="0" w:color="auto"/>
              </w:divBdr>
              <w:divsChild>
                <w:div w:id="1675303989">
                  <w:marLeft w:val="0"/>
                  <w:marRight w:val="0"/>
                  <w:marTop w:val="0"/>
                  <w:marBottom w:val="0"/>
                  <w:divBdr>
                    <w:top w:val="none" w:sz="0" w:space="0" w:color="auto"/>
                    <w:left w:val="none" w:sz="0" w:space="0" w:color="auto"/>
                    <w:bottom w:val="none" w:sz="0" w:space="0" w:color="auto"/>
                    <w:right w:val="none" w:sz="0" w:space="0" w:color="auto"/>
                  </w:divBdr>
                </w:div>
              </w:divsChild>
            </w:div>
            <w:div w:id="1638874236">
              <w:marLeft w:val="0"/>
              <w:marRight w:val="0"/>
              <w:marTop w:val="0"/>
              <w:marBottom w:val="0"/>
              <w:divBdr>
                <w:top w:val="none" w:sz="0" w:space="0" w:color="auto"/>
                <w:left w:val="none" w:sz="0" w:space="0" w:color="auto"/>
                <w:bottom w:val="none" w:sz="0" w:space="0" w:color="auto"/>
                <w:right w:val="none" w:sz="0" w:space="0" w:color="auto"/>
              </w:divBdr>
              <w:divsChild>
                <w:div w:id="119599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03842">
          <w:marLeft w:val="0"/>
          <w:marRight w:val="0"/>
          <w:marTop w:val="0"/>
          <w:marBottom w:val="0"/>
          <w:divBdr>
            <w:top w:val="none" w:sz="0" w:space="0" w:color="auto"/>
            <w:left w:val="none" w:sz="0" w:space="0" w:color="auto"/>
            <w:bottom w:val="none" w:sz="0" w:space="0" w:color="auto"/>
            <w:right w:val="none" w:sz="0" w:space="0" w:color="auto"/>
          </w:divBdr>
          <w:divsChild>
            <w:div w:id="568855121">
              <w:marLeft w:val="0"/>
              <w:marRight w:val="0"/>
              <w:marTop w:val="0"/>
              <w:marBottom w:val="0"/>
              <w:divBdr>
                <w:top w:val="none" w:sz="0" w:space="0" w:color="auto"/>
                <w:left w:val="none" w:sz="0" w:space="0" w:color="auto"/>
                <w:bottom w:val="none" w:sz="0" w:space="0" w:color="auto"/>
                <w:right w:val="none" w:sz="0" w:space="0" w:color="auto"/>
              </w:divBdr>
              <w:divsChild>
                <w:div w:id="482546400">
                  <w:marLeft w:val="0"/>
                  <w:marRight w:val="0"/>
                  <w:marTop w:val="0"/>
                  <w:marBottom w:val="0"/>
                  <w:divBdr>
                    <w:top w:val="none" w:sz="0" w:space="0" w:color="auto"/>
                    <w:left w:val="none" w:sz="0" w:space="0" w:color="auto"/>
                    <w:bottom w:val="none" w:sz="0" w:space="0" w:color="auto"/>
                    <w:right w:val="none" w:sz="0" w:space="0" w:color="auto"/>
                  </w:divBdr>
                </w:div>
              </w:divsChild>
            </w:div>
            <w:div w:id="1580598799">
              <w:marLeft w:val="0"/>
              <w:marRight w:val="0"/>
              <w:marTop w:val="0"/>
              <w:marBottom w:val="0"/>
              <w:divBdr>
                <w:top w:val="none" w:sz="0" w:space="0" w:color="auto"/>
                <w:left w:val="none" w:sz="0" w:space="0" w:color="auto"/>
                <w:bottom w:val="none" w:sz="0" w:space="0" w:color="auto"/>
                <w:right w:val="none" w:sz="0" w:space="0" w:color="auto"/>
              </w:divBdr>
              <w:divsChild>
                <w:div w:id="1504277374">
                  <w:marLeft w:val="0"/>
                  <w:marRight w:val="0"/>
                  <w:marTop w:val="0"/>
                  <w:marBottom w:val="0"/>
                  <w:divBdr>
                    <w:top w:val="none" w:sz="0" w:space="0" w:color="auto"/>
                    <w:left w:val="none" w:sz="0" w:space="0" w:color="auto"/>
                    <w:bottom w:val="none" w:sz="0" w:space="0" w:color="auto"/>
                    <w:right w:val="none" w:sz="0" w:space="0" w:color="auto"/>
                  </w:divBdr>
                </w:div>
              </w:divsChild>
            </w:div>
            <w:div w:id="263198944">
              <w:marLeft w:val="0"/>
              <w:marRight w:val="0"/>
              <w:marTop w:val="0"/>
              <w:marBottom w:val="0"/>
              <w:divBdr>
                <w:top w:val="none" w:sz="0" w:space="0" w:color="auto"/>
                <w:left w:val="none" w:sz="0" w:space="0" w:color="auto"/>
                <w:bottom w:val="none" w:sz="0" w:space="0" w:color="auto"/>
                <w:right w:val="none" w:sz="0" w:space="0" w:color="auto"/>
              </w:divBdr>
              <w:divsChild>
                <w:div w:id="20312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26760">
          <w:marLeft w:val="0"/>
          <w:marRight w:val="0"/>
          <w:marTop w:val="0"/>
          <w:marBottom w:val="0"/>
          <w:divBdr>
            <w:top w:val="none" w:sz="0" w:space="0" w:color="auto"/>
            <w:left w:val="none" w:sz="0" w:space="0" w:color="auto"/>
            <w:bottom w:val="none" w:sz="0" w:space="0" w:color="auto"/>
            <w:right w:val="none" w:sz="0" w:space="0" w:color="auto"/>
          </w:divBdr>
          <w:divsChild>
            <w:div w:id="892082074">
              <w:marLeft w:val="0"/>
              <w:marRight w:val="0"/>
              <w:marTop w:val="0"/>
              <w:marBottom w:val="0"/>
              <w:divBdr>
                <w:top w:val="none" w:sz="0" w:space="0" w:color="auto"/>
                <w:left w:val="none" w:sz="0" w:space="0" w:color="auto"/>
                <w:bottom w:val="none" w:sz="0" w:space="0" w:color="auto"/>
                <w:right w:val="none" w:sz="0" w:space="0" w:color="auto"/>
              </w:divBdr>
              <w:divsChild>
                <w:div w:id="1215392533">
                  <w:marLeft w:val="0"/>
                  <w:marRight w:val="0"/>
                  <w:marTop w:val="0"/>
                  <w:marBottom w:val="0"/>
                  <w:divBdr>
                    <w:top w:val="none" w:sz="0" w:space="0" w:color="auto"/>
                    <w:left w:val="none" w:sz="0" w:space="0" w:color="auto"/>
                    <w:bottom w:val="none" w:sz="0" w:space="0" w:color="auto"/>
                    <w:right w:val="none" w:sz="0" w:space="0" w:color="auto"/>
                  </w:divBdr>
                </w:div>
              </w:divsChild>
            </w:div>
            <w:div w:id="1911109887">
              <w:marLeft w:val="0"/>
              <w:marRight w:val="0"/>
              <w:marTop w:val="0"/>
              <w:marBottom w:val="0"/>
              <w:divBdr>
                <w:top w:val="none" w:sz="0" w:space="0" w:color="auto"/>
                <w:left w:val="none" w:sz="0" w:space="0" w:color="auto"/>
                <w:bottom w:val="none" w:sz="0" w:space="0" w:color="auto"/>
                <w:right w:val="none" w:sz="0" w:space="0" w:color="auto"/>
              </w:divBdr>
              <w:divsChild>
                <w:div w:id="223563464">
                  <w:marLeft w:val="0"/>
                  <w:marRight w:val="0"/>
                  <w:marTop w:val="0"/>
                  <w:marBottom w:val="0"/>
                  <w:divBdr>
                    <w:top w:val="none" w:sz="0" w:space="0" w:color="auto"/>
                    <w:left w:val="none" w:sz="0" w:space="0" w:color="auto"/>
                    <w:bottom w:val="none" w:sz="0" w:space="0" w:color="auto"/>
                    <w:right w:val="none" w:sz="0" w:space="0" w:color="auto"/>
                  </w:divBdr>
                </w:div>
              </w:divsChild>
            </w:div>
            <w:div w:id="349111462">
              <w:marLeft w:val="0"/>
              <w:marRight w:val="0"/>
              <w:marTop w:val="0"/>
              <w:marBottom w:val="0"/>
              <w:divBdr>
                <w:top w:val="none" w:sz="0" w:space="0" w:color="auto"/>
                <w:left w:val="none" w:sz="0" w:space="0" w:color="auto"/>
                <w:bottom w:val="none" w:sz="0" w:space="0" w:color="auto"/>
                <w:right w:val="none" w:sz="0" w:space="0" w:color="auto"/>
              </w:divBdr>
              <w:divsChild>
                <w:div w:id="48997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30123">
          <w:marLeft w:val="0"/>
          <w:marRight w:val="0"/>
          <w:marTop w:val="0"/>
          <w:marBottom w:val="0"/>
          <w:divBdr>
            <w:top w:val="none" w:sz="0" w:space="0" w:color="auto"/>
            <w:left w:val="none" w:sz="0" w:space="0" w:color="auto"/>
            <w:bottom w:val="none" w:sz="0" w:space="0" w:color="auto"/>
            <w:right w:val="none" w:sz="0" w:space="0" w:color="auto"/>
          </w:divBdr>
          <w:divsChild>
            <w:div w:id="1350522670">
              <w:marLeft w:val="0"/>
              <w:marRight w:val="0"/>
              <w:marTop w:val="0"/>
              <w:marBottom w:val="0"/>
              <w:divBdr>
                <w:top w:val="none" w:sz="0" w:space="0" w:color="auto"/>
                <w:left w:val="none" w:sz="0" w:space="0" w:color="auto"/>
                <w:bottom w:val="none" w:sz="0" w:space="0" w:color="auto"/>
                <w:right w:val="none" w:sz="0" w:space="0" w:color="auto"/>
              </w:divBdr>
              <w:divsChild>
                <w:div w:id="1913730788">
                  <w:marLeft w:val="0"/>
                  <w:marRight w:val="0"/>
                  <w:marTop w:val="0"/>
                  <w:marBottom w:val="0"/>
                  <w:divBdr>
                    <w:top w:val="none" w:sz="0" w:space="0" w:color="auto"/>
                    <w:left w:val="none" w:sz="0" w:space="0" w:color="auto"/>
                    <w:bottom w:val="none" w:sz="0" w:space="0" w:color="auto"/>
                    <w:right w:val="none" w:sz="0" w:space="0" w:color="auto"/>
                  </w:divBdr>
                </w:div>
              </w:divsChild>
            </w:div>
            <w:div w:id="2053992669">
              <w:marLeft w:val="0"/>
              <w:marRight w:val="0"/>
              <w:marTop w:val="0"/>
              <w:marBottom w:val="0"/>
              <w:divBdr>
                <w:top w:val="none" w:sz="0" w:space="0" w:color="auto"/>
                <w:left w:val="none" w:sz="0" w:space="0" w:color="auto"/>
                <w:bottom w:val="none" w:sz="0" w:space="0" w:color="auto"/>
                <w:right w:val="none" w:sz="0" w:space="0" w:color="auto"/>
              </w:divBdr>
              <w:divsChild>
                <w:div w:id="694968196">
                  <w:marLeft w:val="0"/>
                  <w:marRight w:val="0"/>
                  <w:marTop w:val="0"/>
                  <w:marBottom w:val="0"/>
                  <w:divBdr>
                    <w:top w:val="none" w:sz="0" w:space="0" w:color="auto"/>
                    <w:left w:val="none" w:sz="0" w:space="0" w:color="auto"/>
                    <w:bottom w:val="none" w:sz="0" w:space="0" w:color="auto"/>
                    <w:right w:val="none" w:sz="0" w:space="0" w:color="auto"/>
                  </w:divBdr>
                </w:div>
              </w:divsChild>
            </w:div>
            <w:div w:id="614363285">
              <w:marLeft w:val="0"/>
              <w:marRight w:val="0"/>
              <w:marTop w:val="0"/>
              <w:marBottom w:val="0"/>
              <w:divBdr>
                <w:top w:val="none" w:sz="0" w:space="0" w:color="auto"/>
                <w:left w:val="none" w:sz="0" w:space="0" w:color="auto"/>
                <w:bottom w:val="none" w:sz="0" w:space="0" w:color="auto"/>
                <w:right w:val="none" w:sz="0" w:space="0" w:color="auto"/>
              </w:divBdr>
              <w:divsChild>
                <w:div w:id="21083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3103</Words>
  <Characters>17690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2020-10-27T09:02:00Z</dcterms:created>
  <dcterms:modified xsi:type="dcterms:W3CDTF">2020-10-27T09:14:00Z</dcterms:modified>
</cp:coreProperties>
</file>